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A12A" w14:textId="77777777" w:rsidR="00D84BC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  <w:lang w:val="ru-RU"/>
        </w:rPr>
        <w:t>         </w:t>
      </w:r>
      <w:r>
        <w:rPr>
          <w:rFonts w:ascii="Times New Roman" w:eastAsia="Times New Roman" w:hAnsi="Times New Roman" w:cs="Times New Roman"/>
          <w:sz w:val="18"/>
        </w:rPr>
        <w:t>1414632EDF8F4956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1451"/>
        <w:gridCol w:w="4252"/>
      </w:tblGrid>
      <w:tr w:rsidR="00D84BC8" w14:paraId="48DE0CE5" w14:textId="77777777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1417EA8" w14:textId="77777777" w:rsidR="00D84BC8" w:rsidRPr="004E5962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5962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</w:t>
            </w:r>
            <w:r w:rsidRPr="004E596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Ж</w:t>
            </w:r>
            <w:r w:rsidRPr="004E596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Асфендияров</w:t>
            </w:r>
            <w:proofErr w:type="spellEnd"/>
            <w:r w:rsidRPr="004E59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атындағы</w:t>
            </w:r>
            <w:proofErr w:type="spellEnd"/>
          </w:p>
          <w:p w14:paraId="08A4C7EE" w14:textId="77777777" w:rsidR="00D84BC8" w:rsidRPr="004E5962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59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Қазақ</w:t>
            </w:r>
            <w:proofErr w:type="spellEnd"/>
            <w:r w:rsidRPr="004E59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ұлттық</w:t>
            </w:r>
            <w:proofErr w:type="spellEnd"/>
            <w:r w:rsidRPr="004E59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медицина</w:t>
            </w:r>
            <w:r w:rsidRPr="004E59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496A138" w14:textId="77777777" w:rsidR="00D84BC8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коммерциялық</w:t>
            </w:r>
            <w:proofErr w:type="spellEnd"/>
          </w:p>
          <w:p w14:paraId="11B3BE2F" w14:textId="77777777" w:rsidR="00D84BC8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акционерлік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14:paraId="3793C693" w14:textId="77777777" w:rsidR="00D84BC8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қоғамы</w:t>
            </w:r>
            <w:proofErr w:type="spellEnd"/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35C367" w14:textId="77777777" w:rsidR="00D84BC8" w:rsidRDefault="00000000">
            <w:pPr>
              <w:rPr>
                <w:lang w:val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9ED6D2" wp14:editId="3DA4161F">
                      <wp:extent cx="768055" cy="953734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8054" cy="9537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60.5pt;height:75.1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89623A2" w14:textId="77777777" w:rsidR="00D84BC8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Некоммерческое </w:t>
            </w:r>
          </w:p>
          <w:p w14:paraId="52E1AFD4" w14:textId="77777777" w:rsidR="00D84BC8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акционерное общество </w:t>
            </w:r>
          </w:p>
          <w:p w14:paraId="372337C6" w14:textId="77777777" w:rsidR="00D84BC8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Казахский национальный </w:t>
            </w:r>
          </w:p>
          <w:p w14:paraId="5D1F8603" w14:textId="77777777" w:rsidR="00D84BC8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медицинский университет </w:t>
            </w:r>
          </w:p>
          <w:p w14:paraId="1D650E30" w14:textId="77777777" w:rsidR="00D84BC8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С.Д.Асфендиярова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»</w:t>
            </w:r>
          </w:p>
        </w:tc>
      </w:tr>
    </w:tbl>
    <w:p w14:paraId="09A195A5" w14:textId="77777777" w:rsidR="00D84BC8" w:rsidRDefault="00000000">
      <w:pPr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7168" behindDoc="0" locked="0" layoutInCell="1" allowOverlap="1" wp14:anchorId="5AF18950" wp14:editId="7F2DAB09">
                <wp:simplePos x="0" y="0"/>
                <wp:positionH relativeFrom="column">
                  <wp:posOffset>4875</wp:posOffset>
                </wp:positionH>
                <wp:positionV relativeFrom="paragraph">
                  <wp:posOffset>73742</wp:posOffset>
                </wp:positionV>
                <wp:extent cx="6400800" cy="0"/>
                <wp:effectExtent l="3175" t="3175" r="3175" b="31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20" style="position:absolute;mso-wrap-distance-left:9.1pt;mso-wrap-distance-top:0.0pt;mso-wrap-distance-right:9.1pt;mso-wrap-distance-bottom:0.0pt;z-index:7168;o:allowoverlap:true;o:allowincell:true;mso-position-horizontal-relative:text;margin-left:0.4pt;mso-position-horizontal:absolute;mso-position-vertical-relative:text;margin-top:5.8pt;mso-position-vertical:absolute;width:504.0pt;height:0.0pt;flip:y;" coordsize="100000,100000" path="" filled="f" strokecolor="#000000" strokeweight="1.00pt">
                <v:path textboxrect="0,0,0,0"/>
              </v:shape>
            </w:pict>
          </mc:Fallback>
        </mc:AlternateConten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D84BC8" w:rsidRPr="004E5962" w14:paraId="3F1A7B08" w14:textId="77777777">
        <w:tc>
          <w:tcPr>
            <w:tcW w:w="5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F6965D" w14:textId="77777777" w:rsidR="00D84BC8" w:rsidRDefault="00000000">
            <w:pPr>
              <w:pStyle w:val="a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050012, Алматы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Төле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көшесі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, 94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үй</w:t>
            </w:r>
            <w:proofErr w:type="spellEnd"/>
          </w:p>
          <w:p w14:paraId="0CF322D6" w14:textId="77777777" w:rsidR="00D84BC8" w:rsidRDefault="00000000">
            <w:pPr>
              <w:pStyle w:val="a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телефон: +7/727/292-78-85, 292-79-37, 338-70-30</w:t>
            </w:r>
          </w:p>
          <w:p w14:paraId="668C364B" w14:textId="77777777" w:rsidR="00D84BC8" w:rsidRDefault="00000000">
            <w:pPr>
              <w:pStyle w:val="a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факс: +7/727/292-13-88,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: info@kaznmu.kz</w:t>
            </w:r>
          </w:p>
        </w:tc>
        <w:tc>
          <w:tcPr>
            <w:tcW w:w="4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C0BD12F" w14:textId="77777777" w:rsidR="00D84BC8" w:rsidRDefault="00000000">
            <w:pPr>
              <w:pStyle w:val="a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050012, город Алматы, улица Толе би, д.94</w:t>
            </w:r>
          </w:p>
          <w:p w14:paraId="5C64CE2A" w14:textId="77777777" w:rsidR="00D84BC8" w:rsidRDefault="00000000">
            <w:pPr>
              <w:pStyle w:val="a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телефон: +7/727/292-78-85, 292-79-37, 338-70-30</w:t>
            </w:r>
          </w:p>
          <w:p w14:paraId="22461626" w14:textId="77777777" w:rsidR="00D84BC8" w:rsidRDefault="00000000">
            <w:pPr>
              <w:pStyle w:val="a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факс: +7/727/292-13-88,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: info@kaznmu.kz</w:t>
            </w:r>
          </w:p>
          <w:p w14:paraId="75CC7110" w14:textId="77777777" w:rsidR="00D84BC8" w:rsidRDefault="00D84BC8">
            <w:pPr>
              <w:pStyle w:val="a9"/>
              <w:rPr>
                <w:lang w:val="ru-RU"/>
              </w:rPr>
            </w:pPr>
          </w:p>
        </w:tc>
      </w:tr>
    </w:tbl>
    <w:p w14:paraId="75EEC46F" w14:textId="77777777" w:rsidR="00D84BC8" w:rsidRDefault="00D84B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D84BC8" w14:paraId="578B3597" w14:textId="77777777">
        <w:trPr>
          <w:trHeight w:val="319"/>
        </w:trPr>
        <w:tc>
          <w:tcPr>
            <w:tcW w:w="5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3F2D10E" w14:textId="77777777" w:rsidR="00D84BC8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БҰЙРЫҚ</w:t>
            </w:r>
          </w:p>
        </w:tc>
        <w:tc>
          <w:tcPr>
            <w:tcW w:w="4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4AF44D" w14:textId="77777777" w:rsidR="00D84BC8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ПРИКАЗ</w:t>
            </w:r>
          </w:p>
        </w:tc>
      </w:tr>
      <w:tr w:rsidR="00D84BC8" w14:paraId="161F2256" w14:textId="77777777">
        <w:trPr>
          <w:trHeight w:val="253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93D95F" w14:textId="77777777" w:rsidR="00D84BC8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t xml:space="preserve">               26.12.2023</w: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D06BA1F" w14:textId="77777777" w:rsidR="00D84BC8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                                     № 656</w:t>
            </w:r>
          </w:p>
        </w:tc>
      </w:tr>
      <w:tr w:rsidR="00D84BC8" w14:paraId="5122EFBE" w14:textId="77777777">
        <w:trPr>
          <w:trHeight w:val="115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75065F" w14:textId="77777777" w:rsidR="00D84BC8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5200" distR="115200" simplePos="0" relativeHeight="4096" behindDoc="0" locked="0" layoutInCell="1" allowOverlap="1" wp14:anchorId="16076478" wp14:editId="34A60E29">
                      <wp:simplePos x="0" y="0"/>
                      <wp:positionH relativeFrom="column">
                        <wp:posOffset>558505</wp:posOffset>
                      </wp:positionH>
                      <wp:positionV relativeFrom="paragraph">
                        <wp:posOffset>11350</wp:posOffset>
                      </wp:positionV>
                      <wp:extent cx="800100" cy="0"/>
                      <wp:effectExtent l="3175" t="3175" r="3175" b="31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80009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3" o:spid="_x0000_s3" o:spt="20" style="position:absolute;mso-wrap-distance-left:9.1pt;mso-wrap-distance-top:0.0pt;mso-wrap-distance-right:9.1pt;mso-wrap-distance-bottom:0.0pt;z-index:4096;o:allowoverlap:true;o:allowincell:true;mso-position-horizontal-relative:text;margin-left:44.0pt;mso-position-horizontal:absolute;mso-position-vertical-relative:text;margin-top:0.9pt;mso-position-vertical:absolute;width:63.0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B824F23" w14:textId="77777777" w:rsidR="00D84BC8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0"/>
                <w:lang w:val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5200" distR="115200" simplePos="0" relativeHeight="6144" behindDoc="0" locked="0" layoutInCell="1" allowOverlap="1" wp14:anchorId="617A0812" wp14:editId="219477D4">
                      <wp:simplePos x="0" y="0"/>
                      <wp:positionH relativeFrom="column">
                        <wp:posOffset>1550375</wp:posOffset>
                      </wp:positionH>
                      <wp:positionV relativeFrom="paragraph">
                        <wp:posOffset>11350</wp:posOffset>
                      </wp:positionV>
                      <wp:extent cx="506840" cy="0"/>
                      <wp:effectExtent l="3175" t="3175" r="3175" b="31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0683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4" o:spid="_x0000_s4" o:spt="20" style="position:absolute;mso-wrap-distance-left:9.1pt;mso-wrap-distance-top:0.0pt;mso-wrap-distance-right:9.1pt;mso-wrap-distance-bottom:0.0pt;z-index:6144;o:allowoverlap:true;o:allowincell:true;mso-position-horizontal-relative:text;margin-left:122.1pt;mso-position-horizontal:absolute;mso-position-vertical-relative:text;margin-top:0.9pt;mso-position-vertical:absolute;width:39.9pt;height:0.0pt;flip:y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</w:tc>
      </w:tr>
      <w:tr w:rsidR="00D84BC8" w14:paraId="1E744B18" w14:textId="77777777">
        <w:trPr>
          <w:trHeight w:val="253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45439F1" w14:textId="77777777" w:rsidR="00D84BC8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Алматы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  </w: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E3FBE4C" w14:textId="77777777" w:rsidR="00D84BC8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город Алматы</w:t>
            </w:r>
          </w:p>
        </w:tc>
      </w:tr>
    </w:tbl>
    <w:p w14:paraId="6E719755" w14:textId="77777777" w:rsidR="00D84BC8" w:rsidRDefault="00D84B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6C779E3" w14:textId="77777777" w:rsidR="00D84BC8" w:rsidRPr="004E596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E596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Философия докторы (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PhD</w:t>
      </w:r>
      <w:r w:rsidRPr="004E596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   </w:t>
      </w:r>
    </w:p>
    <w:p w14:paraId="7D9BC36A" w14:textId="77777777" w:rsidR="00D84BC8" w:rsidRPr="004E596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jc w:val="both"/>
        <w:rPr>
          <w:lang w:val="ru-RU"/>
        </w:rPr>
      </w:pPr>
      <w:r w:rsidRPr="004E596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дәрежесін беру туралы</w:t>
      </w:r>
    </w:p>
    <w:p w14:paraId="5BA4C46C" w14:textId="77777777" w:rsidR="00D84BC8" w:rsidRPr="004E5962" w:rsidRDefault="00D84B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14:paraId="5B105A72" w14:textId="77777777" w:rsidR="00D84BC8" w:rsidRPr="004E596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83" w:lineRule="atLeast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>Қазақстан Республикасының Білім және ғылым министірлігінің 31.03.2011 ж. №127 бұйрығымен бекітілген (Қазақстан Республикасы Білім және ғылым министрінің 09.01.2023ж. №7 бұйрығының редакциясы негізінде) дәрежелер беру ережелеріне, 04.04.2023ж. №6 хаттама «С.Ж. Асфендияров атындағы Қазақ ұлттық медицина университеті» КеАҚ Басқармасының шешімімен бекітілген диссертациялық кеңес туралы ережеге және 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>110400, 8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>10102, 8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>140 - «Фармация», 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>074800, 8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>07201, 8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>119 - «Фармацевтикалық өнд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ipic</w:t>
      </w:r>
      <w:proofErr w:type="spellEnd"/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технологиясы» мамандықтары бойынша Арыкбаева Алия Бахыткызының«</w:t>
      </w:r>
      <w:r w:rsidRPr="004E5962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Фармацевтические и фармакологические исследования синеголовника плосколистного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highlight w:val="white"/>
        </w:rPr>
        <w:t>Eryngiumplanum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L</w:t>
      </w:r>
      <w:proofErr w:type="spellEnd"/>
      <w:r w:rsidRPr="004E5962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.) и лекарственных препаратов на его основе</w:t>
      </w:r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 </w:t>
      </w:r>
      <w:r w:rsidRPr="004E5962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D</w:t>
      </w:r>
      <w:r w:rsidRPr="004E5962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074800</w:t>
      </w:r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- «Фармацевтикалық өндіріс технологиясы» мамандығы бойынша Диссертациялық кеңес шешімі негізінде (09.12.2023 ж.№40 хаттама) сәйкес, 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>110400, 8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>10102, 8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>140-«Фармация», 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>074800, 8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>07201, 8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>119 - «Фармацевтикалық өнд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ipic</w:t>
      </w:r>
      <w:proofErr w:type="spellEnd"/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технологиясы» мамандықтары бойынша Диссертациялық кеңестің төрағасы У. Датхаевтың қызметтік хаты негізінде, </w:t>
      </w:r>
      <w:r w:rsidRPr="004E596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БҰЙЫРАМЫН:</w:t>
      </w:r>
    </w:p>
    <w:p w14:paraId="1D6AA0E2" w14:textId="77777777" w:rsidR="00D84BC8" w:rsidRPr="004E5962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  <w:tab w:val="left" w:pos="851"/>
        </w:tabs>
        <w:spacing w:after="0" w:line="283" w:lineRule="atLeast"/>
        <w:ind w:left="0" w:firstLine="85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Арыкбаева Алия Бахыткызының </w:t>
      </w:r>
      <w:r w:rsidRPr="004E5962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D</w:t>
      </w:r>
      <w:r w:rsidRPr="004E5962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074800</w:t>
      </w:r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- «Фармацевтикалық өндіріс технологиясы» мамандығы бойынша философия докторы (</w:t>
      </w:r>
      <w:r>
        <w:rPr>
          <w:rFonts w:ascii="Times New Roman" w:eastAsia="Times New Roman" w:hAnsi="Times New Roman" w:cs="Times New Roman"/>
          <w:color w:val="000000"/>
          <w:sz w:val="28"/>
        </w:rPr>
        <w:t>PhD</w:t>
      </w:r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>) дәрежесі берілсін.</w:t>
      </w:r>
    </w:p>
    <w:p w14:paraId="1EAAACEF" w14:textId="77777777" w:rsidR="00D84BC8" w:rsidRPr="004E5962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83" w:lineRule="atLeast"/>
        <w:ind w:left="0" w:firstLine="85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>Белгіленген тәртіпке сәйкес Арыкбаева Алия Бахыткызының философия докторы (</w:t>
      </w:r>
      <w:r>
        <w:rPr>
          <w:rFonts w:ascii="Times New Roman" w:eastAsia="Times New Roman" w:hAnsi="Times New Roman" w:cs="Times New Roman"/>
          <w:color w:val="000000"/>
          <w:sz w:val="28"/>
        </w:rPr>
        <w:t>PhD</w:t>
      </w:r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>) дәрежесін беру туралы диплом берілсін.</w:t>
      </w:r>
    </w:p>
    <w:p w14:paraId="14B91475" w14:textId="77777777" w:rsidR="00D84BC8" w:rsidRPr="004E5962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83" w:lineRule="atLeast"/>
        <w:ind w:left="0" w:firstLine="85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4E5962">
        <w:rPr>
          <w:rFonts w:ascii="Times New Roman" w:eastAsia="Times New Roman" w:hAnsi="Times New Roman" w:cs="Times New Roman"/>
          <w:color w:val="000000"/>
          <w:sz w:val="28"/>
          <w:lang w:val="ru-RU"/>
        </w:rPr>
        <w:t>Осы бұйрықты қадағалау проректор К. Давлетовке жүктелсін.</w:t>
      </w:r>
    </w:p>
    <w:p w14:paraId="1B5298DC" w14:textId="77777777" w:rsidR="00D84BC8" w:rsidRPr="004E596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83" w:lineRule="atLeast"/>
        <w:ind w:firstLine="85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4ABEE6EB" w14:textId="77777777" w:rsidR="00D84BC8" w:rsidRPr="004E596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83" w:lineRule="atLeast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18ADABA7" w14:textId="77777777" w:rsidR="00D84BC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83" w:lineRule="atLeast"/>
        <w:ind w:firstLine="850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Басқарма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төрағасы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Ректор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                                                  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Шоранов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sectPr w:rsidR="00D84BC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134" w:header="709" w:footer="4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CDBD" w14:textId="77777777" w:rsidR="00793E34" w:rsidRDefault="00793E34">
      <w:pPr>
        <w:spacing w:after="0" w:line="240" w:lineRule="auto"/>
      </w:pPr>
      <w:r>
        <w:separator/>
      </w:r>
    </w:p>
  </w:endnote>
  <w:endnote w:type="continuationSeparator" w:id="0">
    <w:p w14:paraId="6779E4C1" w14:textId="77777777" w:rsidR="00793E34" w:rsidRDefault="0079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8AF9" w14:textId="77777777" w:rsidR="00D84BC8" w:rsidRDefault="00D84B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D878" w14:textId="77777777" w:rsidR="00D84BC8" w:rsidRDefault="00000000">
    <w:pPr>
      <w:spacing w:after="0"/>
    </w:pPr>
    <w:r>
      <w:rPr>
        <w:noProof/>
      </w:rPr>
      <mc:AlternateContent>
        <mc:Choice Requires="wpg">
          <w:drawing>
            <wp:inline distT="0" distB="0" distL="0" distR="0" wp14:anchorId="5AA49F12" wp14:editId="78776DCC">
              <wp:extent cx="685800" cy="6858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4.0pt;height:54.0pt;" stroked="false">
              <v:path textboxrect="0,0,0,0"/>
              <v:imagedata r:id="rId2" o:title=""/>
            </v:shape>
          </w:pict>
        </mc:Fallback>
      </mc:AlternateContent>
    </w:r>
  </w:p>
  <w:p w14:paraId="10373BAE" w14:textId="77777777" w:rsidR="00D84BC8" w:rsidRPr="004E5962" w:rsidRDefault="00000000">
    <w:pPr>
      <w:spacing w:after="0"/>
      <w:jc w:val="both"/>
      <w:rPr>
        <w:lang w:val="ru-RU"/>
      </w:rPr>
    </w:pPr>
    <w:r w:rsidRPr="004E5962">
      <w:rPr>
        <w:sz w:val="10"/>
        <w:lang w:val="ru-RU"/>
      </w:rPr>
      <w:t>Издатель ЭЦП - ҰЛТТЫҚ КУӘЛАНДЫРУШЫ ОРТАЛЫҚ (</w:t>
    </w:r>
    <w:r>
      <w:rPr>
        <w:sz w:val="10"/>
      </w:rPr>
      <w:t>GOST</w:t>
    </w:r>
    <w:r w:rsidRPr="004E5962">
      <w:rPr>
        <w:sz w:val="10"/>
        <w:lang w:val="ru-RU"/>
      </w:rPr>
      <w:t xml:space="preserve">), ШОРАНОВ МАРАТ, Некоммерческое акционерное общество "Казахский национальный медицинский университет имени С. Д. Асфендиярова", </w:t>
    </w:r>
    <w:r>
      <w:rPr>
        <w:sz w:val="10"/>
      </w:rPr>
      <w:t>BIN</w:t>
    </w:r>
    <w:r w:rsidRPr="004E5962">
      <w:rPr>
        <w:sz w:val="10"/>
        <w:lang w:val="ru-RU"/>
      </w:rPr>
      <w:t xml:space="preserve">181240006407      </w:t>
    </w:r>
    <w:r>
      <w:rPr>
        <w:sz w:val="10"/>
      </w:rPr>
      <w:t>https</w:t>
    </w:r>
    <w:r w:rsidRPr="004E5962">
      <w:rPr>
        <w:sz w:val="10"/>
        <w:lang w:val="ru-RU"/>
      </w:rPr>
      <w:t>://</w:t>
    </w:r>
    <w:r>
      <w:rPr>
        <w:sz w:val="10"/>
      </w:rPr>
      <w:t>short</w:t>
    </w:r>
    <w:r w:rsidRPr="004E5962">
      <w:rPr>
        <w:sz w:val="10"/>
        <w:lang w:val="ru-RU"/>
      </w:rPr>
      <w:t>.</w:t>
    </w:r>
    <w:proofErr w:type="spellStart"/>
    <w:r>
      <w:rPr>
        <w:sz w:val="10"/>
      </w:rPr>
      <w:t>kaznmu</w:t>
    </w:r>
    <w:proofErr w:type="spellEnd"/>
    <w:r w:rsidRPr="004E5962">
      <w:rPr>
        <w:sz w:val="10"/>
        <w:lang w:val="ru-RU"/>
      </w:rPr>
      <w:t>.</w:t>
    </w:r>
    <w:proofErr w:type="spellStart"/>
    <w:r>
      <w:rPr>
        <w:sz w:val="10"/>
      </w:rPr>
      <w:t>kz</w:t>
    </w:r>
    <w:proofErr w:type="spellEnd"/>
    <w:r w:rsidRPr="004E5962">
      <w:rPr>
        <w:sz w:val="10"/>
        <w:lang w:val="ru-RU"/>
      </w:rPr>
      <w:t>/</w:t>
    </w:r>
    <w:proofErr w:type="spellStart"/>
    <w:r>
      <w:rPr>
        <w:sz w:val="10"/>
      </w:rPr>
      <w:t>rMOFo</w:t>
    </w:r>
    <w:proofErr w:type="spellEnd"/>
    <w:r w:rsidRPr="004E5962">
      <w:rPr>
        <w:sz w:val="10"/>
        <w:lang w:val="ru-RU"/>
      </w:rPr>
      <w:t>6</w:t>
    </w:r>
  </w:p>
  <w:p w14:paraId="31F92BA6" w14:textId="77777777" w:rsidR="00D84BC8" w:rsidRPr="004E5962" w:rsidRDefault="00000000">
    <w:pPr>
      <w:spacing w:after="0"/>
      <w:jc w:val="both"/>
      <w:rPr>
        <w:lang w:val="ru-RU"/>
      </w:rPr>
    </w:pPr>
    <w:r w:rsidRPr="004E5962">
      <w:rPr>
        <w:sz w:val="10"/>
        <w:lang w:val="ru-RU"/>
      </w:rPr>
      <w:t xml:space="preserve">Электрондық құжатты тексеру үшін: </w:t>
    </w:r>
    <w:r>
      <w:rPr>
        <w:sz w:val="10"/>
      </w:rPr>
      <w:t>https</w:t>
    </w:r>
    <w:r w:rsidRPr="004E5962">
      <w:rPr>
        <w:sz w:val="10"/>
        <w:lang w:val="ru-RU"/>
      </w:rPr>
      <w:t>://</w:t>
    </w:r>
    <w:proofErr w:type="spellStart"/>
    <w:r>
      <w:rPr>
        <w:sz w:val="10"/>
      </w:rPr>
      <w:t>salemoffice</w:t>
    </w:r>
    <w:proofErr w:type="spellEnd"/>
    <w:r w:rsidRPr="004E5962">
      <w:rPr>
        <w:sz w:val="10"/>
        <w:lang w:val="ru-RU"/>
      </w:rPr>
      <w:t>.</w:t>
    </w:r>
    <w:proofErr w:type="spellStart"/>
    <w:r>
      <w:rPr>
        <w:sz w:val="10"/>
      </w:rPr>
      <w:t>kaznmu</w:t>
    </w:r>
    <w:proofErr w:type="spellEnd"/>
    <w:r w:rsidRPr="004E5962">
      <w:rPr>
        <w:sz w:val="10"/>
        <w:lang w:val="ru-RU"/>
      </w:rPr>
      <w:t>.</w:t>
    </w:r>
    <w:proofErr w:type="spellStart"/>
    <w:r>
      <w:rPr>
        <w:sz w:val="10"/>
      </w:rPr>
      <w:t>edu</w:t>
    </w:r>
    <w:proofErr w:type="spellEnd"/>
    <w:r w:rsidRPr="004E5962">
      <w:rPr>
        <w:sz w:val="10"/>
        <w:lang w:val="ru-RU"/>
      </w:rPr>
      <w:t>.</w:t>
    </w:r>
    <w:proofErr w:type="spellStart"/>
    <w:r>
      <w:rPr>
        <w:sz w:val="10"/>
      </w:rPr>
      <w:t>kz</w:t>
    </w:r>
    <w:proofErr w:type="spellEnd"/>
    <w:r w:rsidRPr="004E5962">
      <w:rPr>
        <w:sz w:val="10"/>
        <w:lang w:val="ru-RU"/>
      </w:rPr>
      <w:t>/</w:t>
    </w:r>
    <w:r>
      <w:rPr>
        <w:sz w:val="10"/>
      </w:rPr>
      <w:t>verify</w:t>
    </w:r>
    <w:r w:rsidRPr="004E5962">
      <w:rPr>
        <w:sz w:val="10"/>
        <w:lang w:val="ru-RU"/>
      </w:rPr>
      <w:t xml:space="preserve"> мекен-жайына өтіп, қажетті жолдарды толтырыңыз. Электрондық құжаттың көшірмесін тексеру үшін қысқа сілтемеге өтіңіз немесе </w:t>
    </w:r>
    <w:r>
      <w:rPr>
        <w:sz w:val="10"/>
      </w:rPr>
      <w:t>QR</w:t>
    </w:r>
    <w:r w:rsidRPr="004E5962">
      <w:rPr>
        <w:sz w:val="10"/>
        <w:lang w:val="ru-RU"/>
      </w:rPr>
      <w:t xml:space="preserve"> код арқылы оқыңыз. Бұл құжат, «Электрондық құжат және электрондық цифрлық қолтаңба туралы» Қазақстан Республикасының 2003 жылғы 7 қаңтарда шыққан Заңының 7-бабының 1-тармағына сәйкес, қағаз құжатпен тең дәрежелі болып табылады. / Для проверки электронного документа перейдите по адресу: </w:t>
    </w:r>
    <w:r>
      <w:rPr>
        <w:sz w:val="10"/>
      </w:rPr>
      <w:t>https</w:t>
    </w:r>
    <w:r w:rsidRPr="004E5962">
      <w:rPr>
        <w:sz w:val="10"/>
        <w:lang w:val="ru-RU"/>
      </w:rPr>
      <w:t>://</w:t>
    </w:r>
    <w:proofErr w:type="spellStart"/>
    <w:r>
      <w:rPr>
        <w:sz w:val="10"/>
      </w:rPr>
      <w:t>salemoffice</w:t>
    </w:r>
    <w:proofErr w:type="spellEnd"/>
    <w:r w:rsidRPr="004E5962">
      <w:rPr>
        <w:sz w:val="10"/>
        <w:lang w:val="ru-RU"/>
      </w:rPr>
      <w:t>.</w:t>
    </w:r>
    <w:proofErr w:type="spellStart"/>
    <w:r>
      <w:rPr>
        <w:sz w:val="10"/>
      </w:rPr>
      <w:t>kaznmu</w:t>
    </w:r>
    <w:proofErr w:type="spellEnd"/>
    <w:r w:rsidRPr="004E5962">
      <w:rPr>
        <w:sz w:val="10"/>
        <w:lang w:val="ru-RU"/>
      </w:rPr>
      <w:t>.</w:t>
    </w:r>
    <w:proofErr w:type="spellStart"/>
    <w:r>
      <w:rPr>
        <w:sz w:val="10"/>
      </w:rPr>
      <w:t>edu</w:t>
    </w:r>
    <w:proofErr w:type="spellEnd"/>
    <w:r w:rsidRPr="004E5962">
      <w:rPr>
        <w:sz w:val="10"/>
        <w:lang w:val="ru-RU"/>
      </w:rPr>
      <w:t>.</w:t>
    </w:r>
    <w:proofErr w:type="spellStart"/>
    <w:r>
      <w:rPr>
        <w:sz w:val="10"/>
      </w:rPr>
      <w:t>kz</w:t>
    </w:r>
    <w:proofErr w:type="spellEnd"/>
    <w:r w:rsidRPr="004E5962">
      <w:rPr>
        <w:sz w:val="10"/>
        <w:lang w:val="ru-RU"/>
      </w:rPr>
      <w:t>/</w:t>
    </w:r>
    <w:r>
      <w:rPr>
        <w:sz w:val="10"/>
      </w:rPr>
      <w:t>verify</w:t>
    </w:r>
    <w:r w:rsidRPr="004E5962">
      <w:rPr>
        <w:sz w:val="10"/>
        <w:lang w:val="ru-RU"/>
      </w:rPr>
      <w:t xml:space="preserve"> и заполните необходимые поля. Для проверки копии электронного документа перейдите по короткой ссылке или считайте </w:t>
    </w:r>
    <w:r>
      <w:rPr>
        <w:sz w:val="10"/>
      </w:rPr>
      <w:t>QR</w:t>
    </w:r>
    <w:r w:rsidRPr="004E5962">
      <w:rPr>
        <w:sz w:val="10"/>
        <w:lang w:val="ru-RU"/>
      </w:rPr>
      <w:t xml:space="preserve">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</w:r>
  </w:p>
  <w:p w14:paraId="3F0C43F0" w14:textId="77777777" w:rsidR="00D84BC8" w:rsidRPr="004E5962" w:rsidRDefault="00D84BC8">
    <w:pPr>
      <w:pStyle w:val="ab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E37A" w14:textId="77777777" w:rsidR="00D84BC8" w:rsidRDefault="00D84B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C9A9" w14:textId="77777777" w:rsidR="00793E34" w:rsidRDefault="00793E34">
      <w:pPr>
        <w:spacing w:after="0" w:line="240" w:lineRule="auto"/>
      </w:pPr>
      <w:r>
        <w:separator/>
      </w:r>
    </w:p>
  </w:footnote>
  <w:footnote w:type="continuationSeparator" w:id="0">
    <w:p w14:paraId="309BFC76" w14:textId="77777777" w:rsidR="00793E34" w:rsidRDefault="00793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EBAF" w14:textId="77777777" w:rsidR="00D84BC8" w:rsidRDefault="00D84B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5D77" w14:textId="77777777" w:rsidR="00D84BC8" w:rsidRDefault="00D84BC8">
    <w:pPr>
      <w:pStyle w:val="a9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CCDE" w14:textId="77777777" w:rsidR="00D84BC8" w:rsidRDefault="00D84B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3084"/>
    <w:multiLevelType w:val="hybridMultilevel"/>
    <w:tmpl w:val="EBD00E9A"/>
    <w:lvl w:ilvl="0" w:tplc="67103136">
      <w:start w:val="1"/>
      <w:numFmt w:val="decimal"/>
      <w:lvlText w:val="%1."/>
      <w:lvlJc w:val="left"/>
      <w:pPr>
        <w:ind w:left="720" w:hanging="360"/>
      </w:pPr>
    </w:lvl>
    <w:lvl w:ilvl="1" w:tplc="2B68AA14">
      <w:start w:val="1"/>
      <w:numFmt w:val="lowerLetter"/>
      <w:lvlText w:val="%2."/>
      <w:lvlJc w:val="left"/>
      <w:pPr>
        <w:ind w:left="1440" w:hanging="360"/>
      </w:pPr>
    </w:lvl>
    <w:lvl w:ilvl="2" w:tplc="2E3C1DDE">
      <w:start w:val="1"/>
      <w:numFmt w:val="lowerRoman"/>
      <w:lvlText w:val="%3."/>
      <w:lvlJc w:val="right"/>
      <w:pPr>
        <w:ind w:left="2160" w:hanging="180"/>
      </w:pPr>
    </w:lvl>
    <w:lvl w:ilvl="3" w:tplc="3F7CDA1E">
      <w:start w:val="1"/>
      <w:numFmt w:val="decimal"/>
      <w:lvlText w:val="%4."/>
      <w:lvlJc w:val="left"/>
      <w:pPr>
        <w:ind w:left="2880" w:hanging="360"/>
      </w:pPr>
    </w:lvl>
    <w:lvl w:ilvl="4" w:tplc="53705768">
      <w:start w:val="1"/>
      <w:numFmt w:val="lowerLetter"/>
      <w:lvlText w:val="%5."/>
      <w:lvlJc w:val="left"/>
      <w:pPr>
        <w:ind w:left="3600" w:hanging="360"/>
      </w:pPr>
    </w:lvl>
    <w:lvl w:ilvl="5" w:tplc="C18ED648">
      <w:start w:val="1"/>
      <w:numFmt w:val="lowerRoman"/>
      <w:lvlText w:val="%6."/>
      <w:lvlJc w:val="right"/>
      <w:pPr>
        <w:ind w:left="4320" w:hanging="180"/>
      </w:pPr>
    </w:lvl>
    <w:lvl w:ilvl="6" w:tplc="0AA258AE">
      <w:start w:val="1"/>
      <w:numFmt w:val="decimal"/>
      <w:lvlText w:val="%7."/>
      <w:lvlJc w:val="left"/>
      <w:pPr>
        <w:ind w:left="5040" w:hanging="360"/>
      </w:pPr>
    </w:lvl>
    <w:lvl w:ilvl="7" w:tplc="5CDAA2C0">
      <w:start w:val="1"/>
      <w:numFmt w:val="lowerLetter"/>
      <w:lvlText w:val="%8."/>
      <w:lvlJc w:val="left"/>
      <w:pPr>
        <w:ind w:left="5760" w:hanging="360"/>
      </w:pPr>
    </w:lvl>
    <w:lvl w:ilvl="8" w:tplc="0A2CA98C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65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C8"/>
    <w:rsid w:val="004E5962"/>
    <w:rsid w:val="00793E34"/>
    <w:rsid w:val="00D8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6CA6"/>
  <w15:docId w15:val="{FD2017D3-F8E6-4422-949B-C328BCB2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Курманалиева</dc:creator>
  <cp:lastModifiedBy>Шынар Курманалиева</cp:lastModifiedBy>
  <cp:revision>2</cp:revision>
  <dcterms:created xsi:type="dcterms:W3CDTF">2023-12-27T04:13:00Z</dcterms:created>
  <dcterms:modified xsi:type="dcterms:W3CDTF">2023-12-27T04:13:00Z</dcterms:modified>
</cp:coreProperties>
</file>