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BB" w:rsidRDefault="00F451BB" w:rsidP="00D778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BB">
        <w:rPr>
          <w:rFonts w:ascii="Times New Roman" w:eastAsia="Calibri" w:hAnsi="Times New Roman" w:cs="Times New Roman"/>
          <w:b/>
          <w:sz w:val="24"/>
          <w:szCs w:val="24"/>
        </w:rPr>
        <w:t xml:space="preserve">«Клиническое интервью врача </w:t>
      </w:r>
      <w:r w:rsidRPr="00F451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общей практики</w:t>
      </w:r>
      <w:r w:rsidRPr="00F451BB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34"/>
        <w:gridCol w:w="8187"/>
      </w:tblGrid>
      <w:tr w:rsidR="00F451BB" w:rsidRPr="00D77846" w:rsidTr="001359B7">
        <w:trPr>
          <w:trHeight w:val="470"/>
        </w:trPr>
        <w:tc>
          <w:tcPr>
            <w:tcW w:w="1072" w:type="pct"/>
            <w:vMerge w:val="restart"/>
          </w:tcPr>
          <w:p w:rsidR="00F451BB" w:rsidRPr="00D77846" w:rsidRDefault="00F451BB" w:rsidP="00746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Шаги клинического интервью</w:t>
            </w:r>
          </w:p>
        </w:tc>
        <w:tc>
          <w:tcPr>
            <w:tcW w:w="3928" w:type="pct"/>
            <w:vMerge w:val="restart"/>
          </w:tcPr>
          <w:p w:rsidR="00F451BB" w:rsidRPr="00D77846" w:rsidRDefault="00F451BB" w:rsidP="00746C6F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Пошаговые действия выполнения навыка</w:t>
            </w:r>
          </w:p>
          <w:p w:rsidR="00F451BB" w:rsidRPr="00D77846" w:rsidRDefault="00F451BB" w:rsidP="00746C6F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(вербальный, невербальный компонент)</w:t>
            </w:r>
          </w:p>
        </w:tc>
      </w:tr>
      <w:tr w:rsidR="00F451BB" w:rsidRPr="00D77846" w:rsidTr="001359B7">
        <w:trPr>
          <w:trHeight w:val="458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  <w:vMerge/>
          </w:tcPr>
          <w:p w:rsidR="00F451BB" w:rsidRPr="00D77846" w:rsidRDefault="00F451BB" w:rsidP="00D778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1BB" w:rsidRPr="00D77846" w:rsidTr="001359B7">
        <w:trPr>
          <w:trHeight w:val="556"/>
        </w:trPr>
        <w:tc>
          <w:tcPr>
            <w:tcW w:w="1072" w:type="pct"/>
            <w:vMerge w:val="restart"/>
          </w:tcPr>
          <w:p w:rsidR="00F451BB" w:rsidRPr="00D77846" w:rsidRDefault="00F451BB" w:rsidP="00D77846">
            <w:pPr>
              <w:tabs>
                <w:tab w:val="left" w:pos="289"/>
              </w:tabs>
              <w:spacing w:after="0" w:line="240" w:lineRule="auto"/>
              <w:ind w:left="5" w:right="-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1. Установить первоначальный контакт</w:t>
            </w: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Приветствовать пациента, провести презентацию, уточнить форму обращения к пациенту; </w:t>
            </w:r>
          </w:p>
        </w:tc>
      </w:tr>
      <w:tr w:rsidR="00F451BB" w:rsidRPr="00D77846" w:rsidTr="001359B7">
        <w:trPr>
          <w:trHeight w:val="233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tabs>
                <w:tab w:val="left" w:pos="289"/>
              </w:tabs>
              <w:spacing w:after="0" w:line="240" w:lineRule="auto"/>
              <w:ind w:left="5" w:right="-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Выстроить оптимальную дистанцию;</w:t>
            </w:r>
          </w:p>
        </w:tc>
      </w:tr>
      <w:tr w:rsidR="00F451BB" w:rsidRPr="00D77846" w:rsidTr="001359B7">
        <w:trPr>
          <w:trHeight w:val="494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цели визита, знакомство с жалобами пациента, сформировать доверительные отношения: врач-пациент;</w:t>
            </w:r>
          </w:p>
        </w:tc>
      </w:tr>
      <w:tr w:rsidR="00F451BB" w:rsidRPr="00D77846" w:rsidTr="001359B7">
        <w:trPr>
          <w:trHeight w:val="273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план совместной работы; Идентифицировать паспортные данные пациента;</w:t>
            </w:r>
          </w:p>
        </w:tc>
      </w:tr>
      <w:tr w:rsidR="00F451BB" w:rsidRPr="00D77846" w:rsidTr="001359B7">
        <w:trPr>
          <w:trHeight w:val="273"/>
        </w:trPr>
        <w:tc>
          <w:tcPr>
            <w:tcW w:w="1072" w:type="pct"/>
            <w:vMerge w:val="restart"/>
          </w:tcPr>
          <w:p w:rsidR="00F451BB" w:rsidRPr="00D77846" w:rsidRDefault="00F451BB" w:rsidP="00D778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Открыть интервью, провести опрос пациента </w:t>
            </w: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открытые и закрытые вопросы при сборе информации;</w:t>
            </w:r>
          </w:p>
        </w:tc>
      </w:tr>
      <w:tr w:rsidR="00F451BB" w:rsidRPr="00D77846" w:rsidTr="001359B7">
        <w:trPr>
          <w:trHeight w:val="229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7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наводящие, уточняющие вопросы;</w:t>
            </w:r>
          </w:p>
        </w:tc>
      </w:tr>
      <w:tr w:rsidR="00F451BB" w:rsidRPr="00D77846" w:rsidTr="001359B7">
        <w:trPr>
          <w:trHeight w:val="293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7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активное слушание, поддерживать зрительный контакт;</w:t>
            </w:r>
          </w:p>
        </w:tc>
      </w:tr>
      <w:tr w:rsidR="00F451BB" w:rsidRPr="00D77846" w:rsidTr="001359B7">
        <w:trPr>
          <w:trHeight w:val="405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7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Представить обратную связь (перефразировать) понятным языком, без лишних пауз;</w:t>
            </w:r>
          </w:p>
        </w:tc>
      </w:tr>
      <w:tr w:rsidR="00F451BB" w:rsidRPr="00D77846" w:rsidTr="001359B7">
        <w:trPr>
          <w:trHeight w:val="344"/>
        </w:trPr>
        <w:tc>
          <w:tcPr>
            <w:tcW w:w="1072" w:type="pct"/>
            <w:vMerge w:val="restart"/>
          </w:tcPr>
          <w:p w:rsidR="00F451BB" w:rsidRPr="00D77846" w:rsidRDefault="00F451BB" w:rsidP="00D778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Осмотреть по органам и системам, провести </w:t>
            </w:r>
            <w:proofErr w:type="spellStart"/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обследование </w:t>
            </w: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Пояснить последующий план действий, получить информированное согласие на проведение медицинского осмотра; Продемонстрировал руководство интервью; </w:t>
            </w:r>
          </w:p>
        </w:tc>
      </w:tr>
      <w:tr w:rsidR="00F451BB" w:rsidRPr="00D77846" w:rsidTr="001359B7">
        <w:trPr>
          <w:trHeight w:val="410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3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альтернативные вопросы (например, для уточнения характеристики болевых ощущений, определил локализацию боли и интенсивность);</w:t>
            </w:r>
          </w:p>
        </w:tc>
      </w:tr>
      <w:tr w:rsidR="00F451BB" w:rsidRPr="00D77846" w:rsidTr="001359B7">
        <w:trPr>
          <w:trHeight w:val="367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3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В обратной связи представить адекватную оценку состоянию пациента, его реакции на болевые ощущения, на понимание поставленных вопросов врачом;</w:t>
            </w:r>
          </w:p>
        </w:tc>
      </w:tr>
      <w:tr w:rsidR="00F451BB" w:rsidRPr="00D77846" w:rsidTr="001359B7">
        <w:trPr>
          <w:trHeight w:val="467"/>
        </w:trPr>
        <w:tc>
          <w:tcPr>
            <w:tcW w:w="1072" w:type="pct"/>
            <w:vMerge w:val="restart"/>
          </w:tcPr>
          <w:p w:rsidR="00F451BB" w:rsidRPr="00D77846" w:rsidRDefault="00F451BB" w:rsidP="00D77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4. Представить диагноз и возможный исход</w:t>
            </w:r>
          </w:p>
        </w:tc>
        <w:tc>
          <w:tcPr>
            <w:tcW w:w="3928" w:type="pct"/>
          </w:tcPr>
          <w:p w:rsidR="00F451BB" w:rsidRPr="00D77846" w:rsidRDefault="00F451BB" w:rsidP="001359B7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8"/>
              </w:tabs>
              <w:spacing w:after="0" w:line="240" w:lineRule="auto"/>
              <w:ind w:left="114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Суммировать информацию и представить её пациенту в виде предварительного диагноза;</w:t>
            </w:r>
          </w:p>
        </w:tc>
      </w:tr>
      <w:tr w:rsidR="00F451BB" w:rsidRPr="00D77846" w:rsidTr="001359B7">
        <w:trPr>
          <w:trHeight w:val="529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1359B7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8"/>
              </w:tabs>
              <w:spacing w:after="0" w:line="240" w:lineRule="auto"/>
              <w:ind w:left="20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Грамотно изложить основную информацию о заболевании и возможный исход, ответить на интересующие вопросы пациента, соблюдая скорость речи;</w:t>
            </w:r>
          </w:p>
        </w:tc>
      </w:tr>
      <w:tr w:rsidR="00F451BB" w:rsidRPr="00D77846" w:rsidTr="001359B7">
        <w:trPr>
          <w:trHeight w:val="706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1359B7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460"/>
              </w:tabs>
              <w:spacing w:after="0" w:line="240" w:lineRule="auto"/>
              <w:ind w:left="17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навык убеждения для пояснения важности до</w:t>
            </w:r>
            <w:bookmarkStart w:id="0" w:name="_GoBack"/>
            <w:bookmarkEnd w:id="0"/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полнительных, инструментальных исследований; Определить маршрут последующих действий пациента.</w:t>
            </w:r>
          </w:p>
        </w:tc>
      </w:tr>
      <w:tr w:rsidR="00F451BB" w:rsidRPr="00D77846" w:rsidTr="001359B7">
        <w:trPr>
          <w:trHeight w:val="696"/>
        </w:trPr>
        <w:tc>
          <w:tcPr>
            <w:tcW w:w="1072" w:type="pct"/>
            <w:vMerge w:val="restart"/>
          </w:tcPr>
          <w:p w:rsidR="00F451BB" w:rsidRPr="00D77846" w:rsidRDefault="00F451BB" w:rsidP="00D77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5. Сформировать план лечебно-оздоровительных мероприятий</w:t>
            </w:r>
          </w:p>
        </w:tc>
        <w:tc>
          <w:tcPr>
            <w:tcW w:w="3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3"/>
              </w:tabs>
              <w:spacing w:after="0" w:line="240" w:lineRule="auto"/>
              <w:ind w:lef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пациентом определить план лечения, опираясь на </w:t>
            </w:r>
            <w:proofErr w:type="spellStart"/>
            <w:r w:rsidRPr="00D77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врачом и пациентом; Представить рекомендации (ЗОЖ, режим питания, режим сна) понятным языком;</w:t>
            </w:r>
          </w:p>
        </w:tc>
      </w:tr>
      <w:tr w:rsidR="00F451BB" w:rsidRPr="00D77846" w:rsidTr="001359B7">
        <w:trPr>
          <w:trHeight w:val="267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3"/>
              </w:tabs>
              <w:spacing w:after="0" w:line="240" w:lineRule="auto"/>
              <w:ind w:lef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план лечения по состоянию пациента на момент обращения;</w:t>
            </w:r>
          </w:p>
        </w:tc>
      </w:tr>
      <w:tr w:rsidR="00F451BB" w:rsidRPr="00D77846" w:rsidTr="001359B7">
        <w:trPr>
          <w:trHeight w:val="379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3"/>
                <w:tab w:val="left" w:pos="459"/>
              </w:tabs>
              <w:spacing w:after="0" w:line="240" w:lineRule="auto"/>
              <w:ind w:lef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Резюмировать, подвести итог проведенных медицинских манипуляций (опрос, осмотр, </w:t>
            </w:r>
            <w:proofErr w:type="spellStart"/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gramStart"/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иагностика</w:t>
            </w:r>
            <w:proofErr w:type="spellEnd"/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), определить важность времени на проведение дополнительных инструментальных и лабораторных исследований при необходимости участия узких специалистов;</w:t>
            </w:r>
          </w:p>
        </w:tc>
      </w:tr>
      <w:tr w:rsidR="00F451BB" w:rsidRPr="00D77846" w:rsidTr="001359B7">
        <w:trPr>
          <w:trHeight w:val="327"/>
        </w:trPr>
        <w:tc>
          <w:tcPr>
            <w:tcW w:w="1072" w:type="pct"/>
            <w:vMerge/>
          </w:tcPr>
          <w:p w:rsidR="00F451BB" w:rsidRPr="00D77846" w:rsidRDefault="00F451BB" w:rsidP="00D778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3"/>
                <w:tab w:val="left" w:pos="459"/>
              </w:tabs>
              <w:spacing w:after="0" w:line="240" w:lineRule="auto"/>
              <w:ind w:lef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Получить обратную связь от пациента на понимание назначений и рекомендаций, </w:t>
            </w:r>
          </w:p>
        </w:tc>
      </w:tr>
      <w:tr w:rsidR="00F451BB" w:rsidRPr="00D77846" w:rsidTr="001359B7">
        <w:trPr>
          <w:trHeight w:val="378"/>
        </w:trPr>
        <w:tc>
          <w:tcPr>
            <w:tcW w:w="1072" w:type="pct"/>
          </w:tcPr>
          <w:p w:rsidR="00F451BB" w:rsidRPr="00D77846" w:rsidRDefault="00F451BB" w:rsidP="00D778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F451BB" w:rsidRPr="00D77846" w:rsidRDefault="00F451BB" w:rsidP="00D77846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3"/>
                <w:tab w:val="left" w:pos="459"/>
              </w:tabs>
              <w:spacing w:after="0" w:line="240" w:lineRule="auto"/>
              <w:ind w:lef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Определить последующую встречу</w:t>
            </w: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; Завершить интервью;</w:t>
            </w:r>
          </w:p>
        </w:tc>
      </w:tr>
      <w:tr w:rsidR="00F451BB" w:rsidRPr="00D77846" w:rsidTr="001359B7">
        <w:trPr>
          <w:trHeight w:val="1033"/>
        </w:trPr>
        <w:tc>
          <w:tcPr>
            <w:tcW w:w="1072" w:type="pct"/>
          </w:tcPr>
          <w:p w:rsidR="00F451BB" w:rsidRPr="00D77846" w:rsidRDefault="00F451BB" w:rsidP="00E665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Получить обратную связь от пациента</w:t>
            </w:r>
          </w:p>
        </w:tc>
        <w:tc>
          <w:tcPr>
            <w:tcW w:w="3928" w:type="pct"/>
          </w:tcPr>
          <w:p w:rsidR="00F451BB" w:rsidRPr="00D77846" w:rsidRDefault="00F451BB" w:rsidP="00D77846">
            <w:pPr>
              <w:tabs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46">
              <w:rPr>
                <w:rFonts w:ascii="Times New Roman" w:eastAsia="Calibri" w:hAnsi="Times New Roman" w:cs="Times New Roman"/>
                <w:sz w:val="24"/>
                <w:szCs w:val="24"/>
              </w:rPr>
              <w:t>20. - «Стандартизированный пациент, Вы удовлетворены представленной работой (медицинской услугой) врача (врача интерна)?»   - «Вы можете доверить данному врачу свое здоровье?»</w:t>
            </w:r>
          </w:p>
        </w:tc>
      </w:tr>
    </w:tbl>
    <w:p w:rsidR="00F451BB" w:rsidRDefault="00F451BB"/>
    <w:sectPr w:rsidR="00F451BB" w:rsidSect="00D77846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23" w:rsidRDefault="004E4823" w:rsidP="00D77846">
      <w:pPr>
        <w:spacing w:after="0" w:line="240" w:lineRule="auto"/>
      </w:pPr>
      <w:r>
        <w:separator/>
      </w:r>
    </w:p>
  </w:endnote>
  <w:endnote w:type="continuationSeparator" w:id="0">
    <w:p w:rsidR="004E4823" w:rsidRDefault="004E4823" w:rsidP="00D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23" w:rsidRDefault="004E4823" w:rsidP="00D77846">
      <w:pPr>
        <w:spacing w:after="0" w:line="240" w:lineRule="auto"/>
      </w:pPr>
      <w:r>
        <w:separator/>
      </w:r>
    </w:p>
  </w:footnote>
  <w:footnote w:type="continuationSeparator" w:id="0">
    <w:p w:rsidR="004E4823" w:rsidRDefault="004E4823" w:rsidP="00D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58"/>
      <w:gridCol w:w="3185"/>
      <w:gridCol w:w="3762"/>
      <w:gridCol w:w="2316"/>
    </w:tblGrid>
    <w:tr w:rsidR="00D77846" w:rsidTr="001359B7">
      <w:trPr>
        <w:trHeight w:val="536"/>
      </w:trPr>
      <w:tc>
        <w:tcPr>
          <w:tcW w:w="556" w:type="pct"/>
          <w:vMerge w:val="restart"/>
        </w:tcPr>
        <w:p w:rsidR="00D77846" w:rsidRPr="00082BDA" w:rsidRDefault="00D77846" w:rsidP="00950602">
          <w:pPr>
            <w:pStyle w:val="a3"/>
            <w:rPr>
              <w:sz w:val="6"/>
            </w:rPr>
          </w:pPr>
        </w:p>
        <w:p w:rsidR="00D77846" w:rsidRPr="00082BDA" w:rsidRDefault="00D77846" w:rsidP="00950602">
          <w:pPr>
            <w:spacing w:after="0" w:line="240" w:lineRule="auto"/>
          </w:pPr>
          <w:r>
            <w:rPr>
              <w:b/>
              <w:noProof/>
              <w:sz w:val="14"/>
              <w:szCs w:val="14"/>
              <w:lang w:eastAsia="ru-RU"/>
            </w:rPr>
            <w:drawing>
              <wp:inline distT="0" distB="0" distL="0" distR="0" wp14:anchorId="2CFBEAE4" wp14:editId="576EE8B2">
                <wp:extent cx="566930" cy="657225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4" w:type="pct"/>
          <w:gridSpan w:val="3"/>
        </w:tcPr>
        <w:p w:rsidR="00D77846" w:rsidRPr="00EA3CA5" w:rsidRDefault="00D77846" w:rsidP="00950602">
          <w:pPr>
            <w:spacing w:after="0" w:line="240" w:lineRule="auto"/>
            <w:ind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D77846" w:rsidRPr="00313202" w:rsidRDefault="00D77846" w:rsidP="00950602">
          <w:pPr>
            <w:spacing w:after="0" w:line="240" w:lineRule="auto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АКЦИОНЕРЛІК ҚОҒАМЫ</w:t>
          </w:r>
        </w:p>
        <w:p w:rsidR="00D77846" w:rsidRPr="00EA3DF4" w:rsidRDefault="00D77846" w:rsidP="00950602">
          <w:pPr>
            <w:spacing w:after="0" w:line="240" w:lineRule="auto"/>
            <w:ind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</w:rPr>
          </w:pPr>
        </w:p>
        <w:p w:rsidR="00D77846" w:rsidRPr="005F77A5" w:rsidRDefault="00D77846" w:rsidP="00950602">
          <w:pPr>
            <w:tabs>
              <w:tab w:val="center" w:pos="4677"/>
              <w:tab w:val="right" w:pos="9355"/>
            </w:tabs>
            <w:spacing w:after="0" w:line="240" w:lineRule="auto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  НЕ  АКЦИОНЕРНОЕ ОБЩЕСТВО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«НАЦИОНАЛЬНЫЙ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D77846" w:rsidTr="001359B7">
      <w:trPr>
        <w:trHeight w:val="264"/>
      </w:trPr>
      <w:tc>
        <w:tcPr>
          <w:tcW w:w="556" w:type="pct"/>
          <w:vMerge/>
        </w:tcPr>
        <w:p w:rsidR="00D77846" w:rsidRDefault="00D77846" w:rsidP="00950602">
          <w:pPr>
            <w:pStyle w:val="a3"/>
          </w:pPr>
        </w:p>
      </w:tc>
      <w:tc>
        <w:tcPr>
          <w:tcW w:w="1528" w:type="pct"/>
          <w:vMerge w:val="restart"/>
        </w:tcPr>
        <w:p w:rsidR="00D77846" w:rsidRPr="004C3FDD" w:rsidRDefault="00D77846" w:rsidP="00950602">
          <w:pPr>
            <w:pStyle w:val="a3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D77846" w:rsidRPr="00EA3CA5" w:rsidRDefault="00D77846" w:rsidP="00950602">
          <w:pPr>
            <w:pStyle w:val="a3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1805" w:type="pct"/>
          <w:vMerge w:val="restart"/>
        </w:tcPr>
        <w:p w:rsidR="00D77846" w:rsidRDefault="00D77846" w:rsidP="00950602">
          <w:pPr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Алгоритм </w:t>
          </w:r>
        </w:p>
        <w:p w:rsidR="00D77846" w:rsidRPr="004C3FDD" w:rsidRDefault="00D77846" w:rsidP="00950602">
          <w:pPr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1111" w:type="pct"/>
        </w:tcPr>
        <w:p w:rsidR="00D77846" w:rsidRPr="001359B7" w:rsidRDefault="001359B7" w:rsidP="001359B7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D77846" w:rsidTr="001359B7">
      <w:trPr>
        <w:trHeight w:val="204"/>
      </w:trPr>
      <w:tc>
        <w:tcPr>
          <w:tcW w:w="556" w:type="pct"/>
          <w:vMerge/>
        </w:tcPr>
        <w:p w:rsidR="00D77846" w:rsidRDefault="00D77846" w:rsidP="00950602">
          <w:pPr>
            <w:pStyle w:val="a3"/>
          </w:pPr>
        </w:p>
      </w:tc>
      <w:tc>
        <w:tcPr>
          <w:tcW w:w="1528" w:type="pct"/>
          <w:vMerge/>
        </w:tcPr>
        <w:p w:rsidR="00D77846" w:rsidRPr="00EA3CA5" w:rsidRDefault="00D77846" w:rsidP="00950602">
          <w:pPr>
            <w:pStyle w:val="a3"/>
            <w:rPr>
              <w:rFonts w:ascii="Tahoma" w:hAnsi="Tahoma" w:cs="Tahoma"/>
            </w:rPr>
          </w:pPr>
        </w:p>
      </w:tc>
      <w:tc>
        <w:tcPr>
          <w:tcW w:w="1805" w:type="pct"/>
          <w:vMerge/>
        </w:tcPr>
        <w:p w:rsidR="00D77846" w:rsidRPr="00EA3CA5" w:rsidRDefault="00D77846" w:rsidP="00950602">
          <w:pPr>
            <w:pStyle w:val="a3"/>
            <w:rPr>
              <w:rFonts w:ascii="Tahoma" w:hAnsi="Tahoma" w:cs="Tahoma"/>
            </w:rPr>
          </w:pPr>
        </w:p>
      </w:tc>
      <w:tc>
        <w:tcPr>
          <w:tcW w:w="1111" w:type="pct"/>
        </w:tcPr>
        <w:sdt>
          <w:sdtPr>
            <w:rPr>
              <w:rFonts w:ascii="Times New Roman" w:hAnsi="Times New Roman" w:cs="Times New Roman"/>
              <w:sz w:val="17"/>
              <w:szCs w:val="17"/>
            </w:rPr>
            <w:id w:val="1477648756"/>
            <w:docPartObj>
              <w:docPartGallery w:val="Page Numbers (Top of Page)"/>
              <w:docPartUnique/>
            </w:docPartObj>
          </w:sdtPr>
          <w:sdtEndPr/>
          <w:sdtContent>
            <w:p w:rsidR="00D77846" w:rsidRPr="00CD42B8" w:rsidRDefault="00D77846" w:rsidP="00D77846">
              <w:pPr>
                <w:pStyle w:val="a3"/>
                <w:jc w:val="center"/>
                <w:rPr>
                  <w:rFonts w:ascii="Times New Roman" w:hAnsi="Times New Roman" w:cs="Times New Roman"/>
                  <w:sz w:val="17"/>
                  <w:szCs w:val="17"/>
                </w:rPr>
              </w:pPr>
              <w:r w:rsidRPr="00CD42B8">
                <w:rPr>
                  <w:rFonts w:ascii="Times New Roman" w:hAnsi="Times New Roman" w:cs="Times New Roman"/>
                  <w:sz w:val="17"/>
                  <w:szCs w:val="17"/>
                </w:rPr>
                <w:t xml:space="preserve">Страница </w: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begin"/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instrText>PAGE</w:instrTex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separate"/>
              </w:r>
              <w:r w:rsidR="001359B7">
                <w:rPr>
                  <w:rFonts w:ascii="Times New Roman" w:hAnsi="Times New Roman" w:cs="Times New Roman"/>
                  <w:bCs/>
                  <w:noProof/>
                  <w:sz w:val="17"/>
                  <w:szCs w:val="17"/>
                </w:rPr>
                <w:t>1</w: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end"/>
              </w:r>
              <w:r w:rsidRPr="00CD42B8">
                <w:rPr>
                  <w:rFonts w:ascii="Times New Roman" w:hAnsi="Times New Roman" w:cs="Times New Roman"/>
                  <w:sz w:val="17"/>
                  <w:szCs w:val="17"/>
                </w:rPr>
                <w:t xml:space="preserve"> из </w: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begin"/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instrText>NUMPAGES</w:instrTex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separate"/>
              </w:r>
              <w:r w:rsidR="001359B7">
                <w:rPr>
                  <w:rFonts w:ascii="Times New Roman" w:hAnsi="Times New Roman" w:cs="Times New Roman"/>
                  <w:bCs/>
                  <w:noProof/>
                  <w:sz w:val="17"/>
                  <w:szCs w:val="17"/>
                </w:rPr>
                <w:t>2</w:t>
              </w:r>
              <w:r w:rsidRPr="00CD42B8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end"/>
              </w:r>
            </w:p>
          </w:sdtContent>
        </w:sdt>
        <w:p w:rsidR="00D77846" w:rsidRPr="007915CE" w:rsidRDefault="00D77846" w:rsidP="00D77846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</w:p>
      </w:tc>
    </w:tr>
  </w:tbl>
  <w:p w:rsidR="00D77846" w:rsidRDefault="00D778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7A14"/>
    <w:multiLevelType w:val="hybridMultilevel"/>
    <w:tmpl w:val="3C1E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BB"/>
    <w:rsid w:val="00025990"/>
    <w:rsid w:val="000F52D8"/>
    <w:rsid w:val="001359B7"/>
    <w:rsid w:val="004E4823"/>
    <w:rsid w:val="00746C6F"/>
    <w:rsid w:val="00871E37"/>
    <w:rsid w:val="009573F6"/>
    <w:rsid w:val="00D77846"/>
    <w:rsid w:val="00E665FC"/>
    <w:rsid w:val="00F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1BB"/>
  </w:style>
  <w:style w:type="table" w:styleId="a5">
    <w:name w:val="Table Grid"/>
    <w:basedOn w:val="a1"/>
    <w:uiPriority w:val="59"/>
    <w:rsid w:val="00F4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1B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1BB"/>
  </w:style>
  <w:style w:type="table" w:styleId="a5">
    <w:name w:val="Table Grid"/>
    <w:basedOn w:val="a1"/>
    <w:uiPriority w:val="59"/>
    <w:rsid w:val="00F4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1B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10</cp:revision>
  <dcterms:created xsi:type="dcterms:W3CDTF">2022-08-01T10:37:00Z</dcterms:created>
  <dcterms:modified xsi:type="dcterms:W3CDTF">2022-08-09T03:57:00Z</dcterms:modified>
</cp:coreProperties>
</file>