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4C" w:rsidRPr="002D4A4C" w:rsidRDefault="002D4A4C" w:rsidP="00D86C7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D4A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Физикальный</w:t>
      </w:r>
      <w:proofErr w:type="spellEnd"/>
      <w:r w:rsidRPr="002D4A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осмотр пациента (</w:t>
      </w:r>
      <w:proofErr w:type="gramStart"/>
      <w:r w:rsidRPr="002D4A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сердечно-сосудистая</w:t>
      </w:r>
      <w:proofErr w:type="gramEnd"/>
      <w:r w:rsidRPr="002D4A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система)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36"/>
        <w:gridCol w:w="3551"/>
        <w:gridCol w:w="6134"/>
      </w:tblGrid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2D4A4C" w:rsidRPr="002D4A4C" w:rsidRDefault="00DF7A61" w:rsidP="002D4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</w:t>
            </w:r>
          </w:p>
        </w:tc>
        <w:tc>
          <w:tcPr>
            <w:tcW w:w="2944" w:type="pct"/>
          </w:tcPr>
          <w:p w:rsidR="002D4A4C" w:rsidRPr="002D4A4C" w:rsidRDefault="00DF7A61" w:rsidP="002D4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6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действия и критерии выполнения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пациентом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Поздороваться с пациентом, Представиться, обозначить свою роль, уточнить анкетные данные пациента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Уточнение самочувствия пациента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жалобы пациента 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Информированное согласие пациента на проведение осмотра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Информировать пациента о процедуре осмотра и получить согласие на её проведение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рук 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 перед началом  манипуляции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Расположение пациента для осмотра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Предложить пациенту лечь на кушетку (с приподнятым изголовьем под 45 градусов): оценить цвет кожных покровов, состояние пальцев рук пациента, определить капиллярный пульс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Осмотр поверхностных сосудов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Провести визуальный осмотр яремных вен: используя для осмотра источник света направленный по касательной к поверхности тела; попросить пациента повернуть голову на бок.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Оценка параметров пульса на лучевых артериях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пульс одновременно на обеих лучевых артериях, убедиться в его симметричности, продолжить пальпацию лучевой артерии на одной руке: держать не менее трех своих пальцев в месте проекции лучевой артерии, не менее 10 сек, смотря на часы (оценить ритм, частоту, наполнение и напряжение пульса)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Оценка ЧДД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Оценить частоту дыхательных движений, продолжая делать вид, что </w:t>
            </w:r>
            <w:proofErr w:type="gram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измеряете</w:t>
            </w:r>
            <w:proofErr w:type="gram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пульс на лучевой артерии, вторую руку положить на живот или грудную клетку пациента, не менее 10 сек, смотря на часы (сосчитать количество дыханий)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Оценка параметров пульса на сонных артериях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пульс на сонной артерии сначала на одной стороне,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пульс на другой сонной артерии. Не пальпировать пульс одновременно на обеих сонных артериях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Оценка параметров пульса на бедренных артериях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пульс одновременно на обеих бедренных артериях, убедиться в его симметричности; 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пульс одновременно на лучевой и бедренной артериях (с одной стороны), убедиться в его симметричности.</w:t>
            </w:r>
            <w:proofErr w:type="gramEnd"/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Измерение АД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измеренение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 АД</w:t>
            </w:r>
            <w:proofErr w:type="gram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протоколу 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прекардиальной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пациента освободить область груди от одежды; Положить правую руку основанием ладони на грудину, расположив пальцы по ходу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межреберий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к левой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аксиллярной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линии,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ротировать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кисть на 90 градусов и оценить верхушечный толчок кончиками пальцев; определить наличие дефицита пульса, одновременно пальпируя область верхушечного толчка и лучевую артерию.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Пальпация пульсации крупных артерий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проекции лёгочной артерии ладонью в области 2-го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межреберья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у левого края </w:t>
            </w:r>
            <w:r w:rsidRPr="002D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грудины; 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проекции дуги аорты ладонью в области 2-го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межреберья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у правого края грудины;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возможной пульсац</w:t>
            </w:r>
            <w:proofErr w:type="gram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рты ладонью в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эпигастральной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Аускультация сердца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головку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в точку в области верхушечного толчка или при его отсутствии V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. на 1-1,5 см внутрь от среднеключичной линии (митральный клапан), Пальпировать сонную артерию (для определения момента систолы) при выслушивании митрального клапана;  Поставить головку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в точку во II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. справа от грудины (аортальный клапан), пальпировать сонную артерию (для определения момента систолы)</w:t>
            </w:r>
            <w:proofErr w:type="gram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ри выслушивании аортального клапана;  Поставить головку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в точку во II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. слева от грудины (пульмональный клапан), пальпировать сонную артерию (для определения момента систолы) при выслушивании пульмонального клапана;  Поставить головку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 в точку IV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. слева от грудины /мечевидный отросток (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трикуспидальный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клапан)</w:t>
            </w:r>
            <w:proofErr w:type="gram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альпировать сонную артерию (для определения момента систолы)при выслушивании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трикуспидального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клапана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Аускультация сонных артерий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Задержать мембрану в области левой сонной артерии не менее 5 сек;  Задержать мембрану в области правой сонной артерии не менее 5 сек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Оценка признаков венозного застоя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правого подреберья с одновременным осмотром области шеи; 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переднюю поверхность голени на наличие отёков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Аускультация митрального клапана с изменением положения пациента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пациента лечь на левый бок; </w:t>
            </w:r>
          </w:p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головку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в точку области верхушечного толчка или при его отсутствии V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. на 1-1,5 см внутрь от среднеключичной линии (митральный клапан на левом боку), пальпировать сонную артерию (для определения момента систолы) при выслушивании митрального клапана на левом боку;  Попросить пациента принять вертикальное положение (сесть)  Поставить головку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в точку в области верхушечного толчка или при его отсутствии V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. на 1-1,5 см внутрь от среднеключичной линии (митральный клапан стоя), пальпировать сонную артерию (для определения момента систолы) при выслушивании митрального клапана стоя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Аускультация легких</w:t>
            </w:r>
            <w:bookmarkStart w:id="0" w:name="_GoBack"/>
            <w:bookmarkEnd w:id="0"/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симметричные участки передней стенки грудной клетки на уровне I, II и III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межреберий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, причем срединно-ключичная линия должна пересекать датчик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стетофонендоскопа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посередине, в строго симметричных точках. Попросить пациента сложить руки в замок и положить их за голову (на затылок). </w:t>
            </w:r>
            <w:proofErr w:type="spellStart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 w:rsidRPr="002D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боковой поверхности грудной клетки в глубине подмышечной ямки. Аускультация в боковых отделах по точкам сравнительной аускультации.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Завершение обследования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Поблагодарить пациента, сказать, что можно одеться, сообщить, что Вы закончили осмотр и сейчас подготовите заключение результатов осмотра</w:t>
            </w:r>
          </w:p>
        </w:tc>
      </w:tr>
      <w:tr w:rsidR="002D4A4C" w:rsidRPr="002D4A4C" w:rsidTr="00D86C77">
        <w:tc>
          <w:tcPr>
            <w:tcW w:w="353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pct"/>
          </w:tcPr>
          <w:p w:rsidR="002D4A4C" w:rsidRPr="002D4A4C" w:rsidRDefault="002D4A4C" w:rsidP="002D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944" w:type="pct"/>
          </w:tcPr>
          <w:p w:rsidR="002D4A4C" w:rsidRPr="002D4A4C" w:rsidRDefault="002D4A4C" w:rsidP="00D8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4C">
              <w:rPr>
                <w:rFonts w:ascii="Times New Roman" w:hAnsi="Times New Roman" w:cs="Times New Roman"/>
                <w:sz w:val="24"/>
                <w:szCs w:val="24"/>
              </w:rPr>
              <w:t>Озвучить результаты осмотра</w:t>
            </w:r>
          </w:p>
        </w:tc>
      </w:tr>
    </w:tbl>
    <w:p w:rsidR="000F164C" w:rsidRPr="002D4A4C" w:rsidRDefault="000F164C" w:rsidP="002D4A4C"/>
    <w:sectPr w:rsidR="000F164C" w:rsidRPr="002D4A4C" w:rsidSect="00D86C77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4D" w:rsidRDefault="00CF774D" w:rsidP="005413E6">
      <w:pPr>
        <w:spacing w:after="0" w:line="240" w:lineRule="auto"/>
      </w:pPr>
      <w:r>
        <w:separator/>
      </w:r>
    </w:p>
  </w:endnote>
  <w:endnote w:type="continuationSeparator" w:id="0">
    <w:p w:rsidR="00CF774D" w:rsidRDefault="00CF774D" w:rsidP="0054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4D" w:rsidRDefault="00CF774D" w:rsidP="005413E6">
      <w:pPr>
        <w:spacing w:after="0" w:line="240" w:lineRule="auto"/>
      </w:pPr>
      <w:r>
        <w:separator/>
      </w:r>
    </w:p>
  </w:footnote>
  <w:footnote w:type="continuationSeparator" w:id="0">
    <w:p w:rsidR="00CF774D" w:rsidRDefault="00CF774D" w:rsidP="0054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9"/>
      <w:gridCol w:w="3825"/>
      <w:gridCol w:w="3624"/>
      <w:gridCol w:w="1763"/>
    </w:tblGrid>
    <w:tr w:rsidR="005413E6" w:rsidTr="008D4474">
      <w:tc>
        <w:tcPr>
          <w:tcW w:w="580" w:type="pct"/>
          <w:vMerge w:val="restart"/>
        </w:tcPr>
        <w:p w:rsidR="005413E6" w:rsidRPr="00082BDA" w:rsidRDefault="005413E6" w:rsidP="00DA0F02">
          <w:pPr>
            <w:pStyle w:val="a3"/>
            <w:rPr>
              <w:sz w:val="6"/>
            </w:rPr>
          </w:pPr>
        </w:p>
        <w:p w:rsidR="005413E6" w:rsidRPr="00082BDA" w:rsidRDefault="005413E6" w:rsidP="00DA0F02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24AC367A" wp14:editId="7DB2BB83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0" w:type="pct"/>
          <w:gridSpan w:val="3"/>
        </w:tcPr>
        <w:p w:rsidR="005413E6" w:rsidRPr="00EA3CA5" w:rsidRDefault="005413E6" w:rsidP="00DA0F02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5413E6" w:rsidRPr="00787D59" w:rsidRDefault="005413E6" w:rsidP="00DA0F02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5413E6" w:rsidRPr="00787D59" w:rsidRDefault="005413E6" w:rsidP="00DA0F02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5413E6" w:rsidRPr="00313202" w:rsidRDefault="005413E6" w:rsidP="00DA0F02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5413E6" w:rsidRPr="00EA3CA5" w:rsidRDefault="005413E6" w:rsidP="00DA0F02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5413E6" w:rsidTr="008D4474">
      <w:trPr>
        <w:trHeight w:val="264"/>
      </w:trPr>
      <w:tc>
        <w:tcPr>
          <w:tcW w:w="580" w:type="pct"/>
          <w:vMerge/>
        </w:tcPr>
        <w:p w:rsidR="005413E6" w:rsidRDefault="005413E6" w:rsidP="00DA0F02">
          <w:pPr>
            <w:pStyle w:val="a3"/>
          </w:pPr>
        </w:p>
      </w:tc>
      <w:tc>
        <w:tcPr>
          <w:tcW w:w="1835" w:type="pct"/>
          <w:vMerge w:val="restart"/>
        </w:tcPr>
        <w:p w:rsidR="005413E6" w:rsidRPr="004C3FDD" w:rsidRDefault="005413E6" w:rsidP="00DA0F02">
          <w:pPr>
            <w:pStyle w:val="a3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5413E6" w:rsidRPr="00EA3CA5" w:rsidRDefault="0069707C" w:rsidP="0069707C">
          <w:pPr>
            <w:pStyle w:val="a3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Симуляционный </w:t>
          </w:r>
          <w:r w:rsidR="00463602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Центр </w:t>
          </w:r>
        </w:p>
      </w:tc>
      <w:tc>
        <w:tcPr>
          <w:tcW w:w="1739" w:type="pct"/>
          <w:vMerge w:val="restart"/>
        </w:tcPr>
        <w:p w:rsidR="005413E6" w:rsidRPr="004C3FDD" w:rsidRDefault="005413E6" w:rsidP="00DA0F02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5413E6" w:rsidRDefault="00B972C8" w:rsidP="00463602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Алгоритм</w:t>
          </w:r>
        </w:p>
        <w:p w:rsidR="00463602" w:rsidRPr="004C3FDD" w:rsidRDefault="00463602" w:rsidP="00B972C8">
          <w:pPr>
            <w:jc w:val="both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846" w:type="pct"/>
        </w:tcPr>
        <w:p w:rsidR="005413E6" w:rsidRPr="003A67C1" w:rsidRDefault="005413E6" w:rsidP="00DA0F02">
          <w:pPr>
            <w:pStyle w:val="a3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5413E6" w:rsidTr="008D4474">
      <w:trPr>
        <w:trHeight w:val="205"/>
      </w:trPr>
      <w:tc>
        <w:tcPr>
          <w:tcW w:w="580" w:type="pct"/>
          <w:vMerge/>
        </w:tcPr>
        <w:p w:rsidR="005413E6" w:rsidRDefault="005413E6" w:rsidP="00DA0F02">
          <w:pPr>
            <w:pStyle w:val="a3"/>
          </w:pPr>
        </w:p>
      </w:tc>
      <w:tc>
        <w:tcPr>
          <w:tcW w:w="1835" w:type="pct"/>
          <w:vMerge/>
        </w:tcPr>
        <w:p w:rsidR="005413E6" w:rsidRPr="00EA3CA5" w:rsidRDefault="005413E6" w:rsidP="00DA0F02">
          <w:pPr>
            <w:pStyle w:val="a3"/>
            <w:rPr>
              <w:rFonts w:ascii="Tahoma" w:hAnsi="Tahoma" w:cs="Tahoma"/>
            </w:rPr>
          </w:pPr>
        </w:p>
      </w:tc>
      <w:tc>
        <w:tcPr>
          <w:tcW w:w="1739" w:type="pct"/>
          <w:vMerge/>
        </w:tcPr>
        <w:p w:rsidR="005413E6" w:rsidRPr="00EA3CA5" w:rsidRDefault="005413E6" w:rsidP="00DA0F02">
          <w:pPr>
            <w:pStyle w:val="a3"/>
            <w:rPr>
              <w:rFonts w:ascii="Tahoma" w:hAnsi="Tahoma" w:cs="Tahoma"/>
            </w:rPr>
          </w:pPr>
        </w:p>
      </w:tc>
      <w:tc>
        <w:tcPr>
          <w:tcW w:w="846" w:type="pct"/>
        </w:tcPr>
        <w:p w:rsidR="005413E6" w:rsidRPr="004C3FDD" w:rsidRDefault="005413E6" w:rsidP="00DA0F02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3916D1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3916D1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8D447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="003916D1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8D4474" w:rsidRPr="008D4474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3</w:t>
            </w:r>
          </w:fldSimple>
        </w:p>
      </w:tc>
    </w:tr>
  </w:tbl>
  <w:p w:rsidR="005413E6" w:rsidRDefault="005413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F52"/>
    <w:multiLevelType w:val="hybridMultilevel"/>
    <w:tmpl w:val="5C1AC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4F09"/>
    <w:multiLevelType w:val="hybridMultilevel"/>
    <w:tmpl w:val="9EC4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6500"/>
    <w:multiLevelType w:val="hybridMultilevel"/>
    <w:tmpl w:val="79BE0CD0"/>
    <w:lvl w:ilvl="0" w:tplc="A900F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60F5"/>
    <w:multiLevelType w:val="hybridMultilevel"/>
    <w:tmpl w:val="BEB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7"/>
    <w:rsid w:val="00011F13"/>
    <w:rsid w:val="00015C60"/>
    <w:rsid w:val="00081232"/>
    <w:rsid w:val="000866DE"/>
    <w:rsid w:val="000A0FAC"/>
    <w:rsid w:val="000A6301"/>
    <w:rsid w:val="000B33D0"/>
    <w:rsid w:val="000C78BD"/>
    <w:rsid w:val="000E4EA9"/>
    <w:rsid w:val="000F164C"/>
    <w:rsid w:val="00112D35"/>
    <w:rsid w:val="0012084A"/>
    <w:rsid w:val="00121B2B"/>
    <w:rsid w:val="001251E2"/>
    <w:rsid w:val="00131B74"/>
    <w:rsid w:val="0013782D"/>
    <w:rsid w:val="00143875"/>
    <w:rsid w:val="00153D2D"/>
    <w:rsid w:val="00180C07"/>
    <w:rsid w:val="001C311E"/>
    <w:rsid w:val="001D5E44"/>
    <w:rsid w:val="001E56D8"/>
    <w:rsid w:val="001F3DD9"/>
    <w:rsid w:val="002414D6"/>
    <w:rsid w:val="00250BFA"/>
    <w:rsid w:val="00257EC6"/>
    <w:rsid w:val="002647F5"/>
    <w:rsid w:val="002717B4"/>
    <w:rsid w:val="002748D5"/>
    <w:rsid w:val="002775C7"/>
    <w:rsid w:val="00280A2F"/>
    <w:rsid w:val="00290AC2"/>
    <w:rsid w:val="0029183C"/>
    <w:rsid w:val="002C1EE9"/>
    <w:rsid w:val="002C7AD9"/>
    <w:rsid w:val="002D242D"/>
    <w:rsid w:val="002D4A4C"/>
    <w:rsid w:val="002E209C"/>
    <w:rsid w:val="002E4B94"/>
    <w:rsid w:val="002F44EC"/>
    <w:rsid w:val="002F7ABF"/>
    <w:rsid w:val="00314EA8"/>
    <w:rsid w:val="0034498C"/>
    <w:rsid w:val="00351826"/>
    <w:rsid w:val="00362E7A"/>
    <w:rsid w:val="003743D8"/>
    <w:rsid w:val="003916D1"/>
    <w:rsid w:val="003A4E68"/>
    <w:rsid w:val="003C7A18"/>
    <w:rsid w:val="00402962"/>
    <w:rsid w:val="00405A54"/>
    <w:rsid w:val="004135BE"/>
    <w:rsid w:val="0042267D"/>
    <w:rsid w:val="004351C2"/>
    <w:rsid w:val="0044547D"/>
    <w:rsid w:val="00446818"/>
    <w:rsid w:val="004527AC"/>
    <w:rsid w:val="00463602"/>
    <w:rsid w:val="00464242"/>
    <w:rsid w:val="00484217"/>
    <w:rsid w:val="004A7771"/>
    <w:rsid w:val="004B3AEE"/>
    <w:rsid w:val="004C3C39"/>
    <w:rsid w:val="004C5B4C"/>
    <w:rsid w:val="004D65F2"/>
    <w:rsid w:val="004F5345"/>
    <w:rsid w:val="00520110"/>
    <w:rsid w:val="00532628"/>
    <w:rsid w:val="005413E6"/>
    <w:rsid w:val="00542DE4"/>
    <w:rsid w:val="00563EE0"/>
    <w:rsid w:val="0057205B"/>
    <w:rsid w:val="00594D14"/>
    <w:rsid w:val="005A47C6"/>
    <w:rsid w:val="005C2176"/>
    <w:rsid w:val="005D3F99"/>
    <w:rsid w:val="005E58E3"/>
    <w:rsid w:val="005F10E3"/>
    <w:rsid w:val="0063298E"/>
    <w:rsid w:val="00650286"/>
    <w:rsid w:val="0066582C"/>
    <w:rsid w:val="00667570"/>
    <w:rsid w:val="0069707C"/>
    <w:rsid w:val="006A1BC4"/>
    <w:rsid w:val="006A601E"/>
    <w:rsid w:val="006C74F9"/>
    <w:rsid w:val="006D5EFC"/>
    <w:rsid w:val="006F316D"/>
    <w:rsid w:val="007049F1"/>
    <w:rsid w:val="007156E9"/>
    <w:rsid w:val="007169EC"/>
    <w:rsid w:val="007343CE"/>
    <w:rsid w:val="007438CC"/>
    <w:rsid w:val="00774964"/>
    <w:rsid w:val="00780BC1"/>
    <w:rsid w:val="007948C7"/>
    <w:rsid w:val="007B62E0"/>
    <w:rsid w:val="007B716E"/>
    <w:rsid w:val="007C0B31"/>
    <w:rsid w:val="007D03C1"/>
    <w:rsid w:val="007E6BF5"/>
    <w:rsid w:val="007F4432"/>
    <w:rsid w:val="00804E57"/>
    <w:rsid w:val="00807DEC"/>
    <w:rsid w:val="008107F3"/>
    <w:rsid w:val="00821EFC"/>
    <w:rsid w:val="00856F50"/>
    <w:rsid w:val="00860FE7"/>
    <w:rsid w:val="00873266"/>
    <w:rsid w:val="00894353"/>
    <w:rsid w:val="008C5284"/>
    <w:rsid w:val="008D0047"/>
    <w:rsid w:val="008D4474"/>
    <w:rsid w:val="008D4538"/>
    <w:rsid w:val="008E165D"/>
    <w:rsid w:val="00903121"/>
    <w:rsid w:val="009042F4"/>
    <w:rsid w:val="00913267"/>
    <w:rsid w:val="00950B5E"/>
    <w:rsid w:val="00975189"/>
    <w:rsid w:val="00984C36"/>
    <w:rsid w:val="00992743"/>
    <w:rsid w:val="009B104B"/>
    <w:rsid w:val="009C43C3"/>
    <w:rsid w:val="009C6484"/>
    <w:rsid w:val="009D35A8"/>
    <w:rsid w:val="009E14BF"/>
    <w:rsid w:val="009E28A3"/>
    <w:rsid w:val="00A44079"/>
    <w:rsid w:val="00A82A31"/>
    <w:rsid w:val="00AA3C83"/>
    <w:rsid w:val="00AA5189"/>
    <w:rsid w:val="00AB7389"/>
    <w:rsid w:val="00AC7FF4"/>
    <w:rsid w:val="00B3047F"/>
    <w:rsid w:val="00B33711"/>
    <w:rsid w:val="00B56377"/>
    <w:rsid w:val="00B60672"/>
    <w:rsid w:val="00B66059"/>
    <w:rsid w:val="00B66E3C"/>
    <w:rsid w:val="00B972C8"/>
    <w:rsid w:val="00BA1608"/>
    <w:rsid w:val="00BB06AA"/>
    <w:rsid w:val="00BC1A64"/>
    <w:rsid w:val="00BC62FC"/>
    <w:rsid w:val="00BD0373"/>
    <w:rsid w:val="00BD7B7A"/>
    <w:rsid w:val="00BE1F93"/>
    <w:rsid w:val="00BE3635"/>
    <w:rsid w:val="00BF462D"/>
    <w:rsid w:val="00C04868"/>
    <w:rsid w:val="00C04E47"/>
    <w:rsid w:val="00C14C4C"/>
    <w:rsid w:val="00C20C5C"/>
    <w:rsid w:val="00C43682"/>
    <w:rsid w:val="00C76AE6"/>
    <w:rsid w:val="00C9670F"/>
    <w:rsid w:val="00C97226"/>
    <w:rsid w:val="00CB19F8"/>
    <w:rsid w:val="00CE7EFC"/>
    <w:rsid w:val="00CF774D"/>
    <w:rsid w:val="00D10967"/>
    <w:rsid w:val="00D779DB"/>
    <w:rsid w:val="00D8092D"/>
    <w:rsid w:val="00D86C77"/>
    <w:rsid w:val="00D94D34"/>
    <w:rsid w:val="00D959CF"/>
    <w:rsid w:val="00DA05B2"/>
    <w:rsid w:val="00DC748D"/>
    <w:rsid w:val="00DF262F"/>
    <w:rsid w:val="00DF2A2B"/>
    <w:rsid w:val="00DF7A61"/>
    <w:rsid w:val="00E00C0B"/>
    <w:rsid w:val="00E15CE7"/>
    <w:rsid w:val="00E45D4F"/>
    <w:rsid w:val="00E45EE8"/>
    <w:rsid w:val="00E47813"/>
    <w:rsid w:val="00E85B5E"/>
    <w:rsid w:val="00EA4FC3"/>
    <w:rsid w:val="00EC66B7"/>
    <w:rsid w:val="00EE3ED6"/>
    <w:rsid w:val="00EE5B18"/>
    <w:rsid w:val="00EF44B4"/>
    <w:rsid w:val="00EF6E72"/>
    <w:rsid w:val="00F1218A"/>
    <w:rsid w:val="00F34A6F"/>
    <w:rsid w:val="00F575F1"/>
    <w:rsid w:val="00F74FF7"/>
    <w:rsid w:val="00F92E13"/>
    <w:rsid w:val="00F92EC6"/>
    <w:rsid w:val="00F93D0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2D4A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2D4A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uadmin</cp:lastModifiedBy>
  <cp:revision>11</cp:revision>
  <cp:lastPrinted>2022-04-20T09:50:00Z</cp:lastPrinted>
  <dcterms:created xsi:type="dcterms:W3CDTF">2022-06-13T02:53:00Z</dcterms:created>
  <dcterms:modified xsi:type="dcterms:W3CDTF">2022-08-09T04:44:00Z</dcterms:modified>
</cp:coreProperties>
</file>