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E153" w14:textId="4DE3A836" w:rsidR="00F12C76" w:rsidRPr="00A57A42" w:rsidRDefault="0020383B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57A42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A57A42">
        <w:rPr>
          <w:rFonts w:cs="Times New Roman"/>
          <w:b/>
          <w:bCs/>
          <w:sz w:val="24"/>
          <w:szCs w:val="24"/>
        </w:rPr>
        <w:t xml:space="preserve">обсуждения </w:t>
      </w:r>
      <w:r w:rsidRPr="00A57A42">
        <w:rPr>
          <w:rFonts w:cs="Times New Roman"/>
          <w:b/>
          <w:bCs/>
          <w:sz w:val="24"/>
          <w:szCs w:val="24"/>
        </w:rPr>
        <w:t>проектов ТУПлов</w:t>
      </w:r>
      <w:r w:rsidR="0058003E" w:rsidRPr="00A57A42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A57A42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1DF799B8" w:rsidR="0020383B" w:rsidRPr="00A57A42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7A42">
        <w:rPr>
          <w:rFonts w:cs="Times New Roman"/>
          <w:sz w:val="24"/>
          <w:szCs w:val="24"/>
        </w:rPr>
        <w:t>Наименование ГУП</w:t>
      </w:r>
      <w:r w:rsidR="00241E92" w:rsidRPr="00A57A42">
        <w:rPr>
          <w:rFonts w:cs="Times New Roman"/>
          <w:sz w:val="24"/>
          <w:szCs w:val="24"/>
        </w:rPr>
        <w:t>: ГУП по терапевтическим специальностям</w:t>
      </w:r>
    </w:p>
    <w:p w14:paraId="225DC011" w14:textId="681C7B18" w:rsidR="0058003E" w:rsidRPr="00A57A42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7A42">
        <w:rPr>
          <w:rFonts w:cs="Times New Roman"/>
          <w:sz w:val="24"/>
          <w:szCs w:val="24"/>
        </w:rPr>
        <w:t>Наименование Комитета</w:t>
      </w:r>
      <w:r w:rsidR="00241E92" w:rsidRPr="00A57A42">
        <w:rPr>
          <w:rFonts w:cs="Times New Roman"/>
          <w:sz w:val="24"/>
          <w:szCs w:val="24"/>
        </w:rPr>
        <w:t xml:space="preserve">: </w:t>
      </w:r>
      <w:r w:rsidR="00DD3BEC" w:rsidRPr="00A57A42">
        <w:rPr>
          <w:rFonts w:cs="Times New Roman"/>
          <w:sz w:val="24"/>
          <w:szCs w:val="24"/>
        </w:rPr>
        <w:t>«</w:t>
      </w:r>
      <w:r w:rsidR="00241E92" w:rsidRPr="00A57A42">
        <w:rPr>
          <w:rFonts w:cs="Times New Roman"/>
          <w:sz w:val="24"/>
          <w:szCs w:val="24"/>
        </w:rPr>
        <w:t>Гематология взрослая</w:t>
      </w:r>
      <w:r w:rsidR="00DD3BEC" w:rsidRPr="00A57A42">
        <w:rPr>
          <w:rFonts w:cs="Times New Roman"/>
          <w:sz w:val="24"/>
          <w:szCs w:val="24"/>
        </w:rPr>
        <w:t>»</w:t>
      </w:r>
    </w:p>
    <w:p w14:paraId="0D34C13B" w14:textId="63A38496" w:rsidR="0058003E" w:rsidRPr="00A57A42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7A42">
        <w:rPr>
          <w:rFonts w:cs="Times New Roman"/>
          <w:sz w:val="24"/>
          <w:szCs w:val="24"/>
        </w:rPr>
        <w:t>Наименование ОП</w:t>
      </w:r>
      <w:r w:rsidR="00241E92" w:rsidRPr="00A57A42">
        <w:rPr>
          <w:rFonts w:cs="Times New Roman"/>
          <w:sz w:val="24"/>
          <w:szCs w:val="24"/>
        </w:rPr>
        <w:t xml:space="preserve">: </w:t>
      </w:r>
      <w:r w:rsidR="00DD3BEC" w:rsidRPr="00A57A42">
        <w:rPr>
          <w:rFonts w:cs="Times New Roman"/>
          <w:sz w:val="24"/>
          <w:szCs w:val="24"/>
        </w:rPr>
        <w:t>«</w:t>
      </w:r>
      <w:r w:rsidR="00241E92" w:rsidRPr="00A57A42">
        <w:rPr>
          <w:rFonts w:cs="Times New Roman"/>
          <w:sz w:val="24"/>
          <w:szCs w:val="24"/>
        </w:rPr>
        <w:t>Гематология взрослая</w:t>
      </w:r>
      <w:r w:rsidR="00DD3BEC" w:rsidRPr="00A57A42">
        <w:rPr>
          <w:rFonts w:cs="Times New Roman"/>
          <w:sz w:val="24"/>
          <w:szCs w:val="24"/>
        </w:rPr>
        <w:t>»</w:t>
      </w:r>
    </w:p>
    <w:p w14:paraId="373DB98F" w14:textId="77777777" w:rsidR="0058003E" w:rsidRPr="00A57A42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04"/>
        <w:gridCol w:w="3260"/>
        <w:gridCol w:w="3044"/>
        <w:gridCol w:w="3619"/>
      </w:tblGrid>
      <w:tr w:rsidR="0020383B" w:rsidRPr="00A57A42" w14:paraId="12655B0E" w14:textId="77777777" w:rsidTr="009C5621">
        <w:tc>
          <w:tcPr>
            <w:tcW w:w="704" w:type="dxa"/>
            <w:vAlign w:val="center"/>
          </w:tcPr>
          <w:p w14:paraId="71E5A236" w14:textId="298BC677" w:rsidR="0020383B" w:rsidRPr="00A57A42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260" w:type="dxa"/>
            <w:vAlign w:val="center"/>
          </w:tcPr>
          <w:p w14:paraId="118CD2F4" w14:textId="07893C1E" w:rsidR="0020383B" w:rsidRPr="00A57A42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3044" w:type="dxa"/>
            <w:vAlign w:val="center"/>
          </w:tcPr>
          <w:p w14:paraId="62858C51" w14:textId="5F537945" w:rsidR="0020383B" w:rsidRPr="00A57A42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3619" w:type="dxa"/>
            <w:vAlign w:val="center"/>
          </w:tcPr>
          <w:p w14:paraId="3864E9AD" w14:textId="36D40CE9" w:rsidR="0020383B" w:rsidRPr="00A57A42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A57A42" w14:paraId="7947E1B6" w14:textId="77777777" w:rsidTr="009C5621">
        <w:tc>
          <w:tcPr>
            <w:tcW w:w="704" w:type="dxa"/>
          </w:tcPr>
          <w:p w14:paraId="5562ED52" w14:textId="3A5F575A" w:rsidR="0020383B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373655" w14:textId="5F8E7BAA" w:rsidR="0020383B" w:rsidRPr="00A57A42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A57A42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3044" w:type="dxa"/>
          </w:tcPr>
          <w:p w14:paraId="142C4907" w14:textId="6697E3E8" w:rsidR="0020383B" w:rsidRPr="00A57A42" w:rsidRDefault="00241E92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01FA4579" w14:textId="38505715" w:rsidR="0020383B" w:rsidRPr="00A57A42" w:rsidRDefault="00FA5136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Гематоло</w:t>
            </w:r>
            <w:r w:rsidR="00DD3BEC" w:rsidRPr="00A57A42">
              <w:rPr>
                <w:rFonts w:cs="Times New Roman"/>
                <w:sz w:val="24"/>
                <w:szCs w:val="24"/>
              </w:rPr>
              <w:t>гия взрослая</w:t>
            </w:r>
          </w:p>
        </w:tc>
      </w:tr>
      <w:tr w:rsidR="0020383B" w:rsidRPr="00A57A42" w14:paraId="63F184E8" w14:textId="77777777" w:rsidTr="009C5621">
        <w:tc>
          <w:tcPr>
            <w:tcW w:w="704" w:type="dxa"/>
          </w:tcPr>
          <w:p w14:paraId="55AAEA25" w14:textId="76A6E997" w:rsidR="0020383B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8E574EC" w14:textId="21333A18" w:rsidR="0020383B" w:rsidRPr="00A57A42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A57A42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A57A42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A57A42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3044" w:type="dxa"/>
          </w:tcPr>
          <w:p w14:paraId="35C32F4B" w14:textId="75F40780" w:rsidR="0020383B" w:rsidRPr="00A57A42" w:rsidRDefault="00241E92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1BFA1482" w14:textId="1FC63602" w:rsidR="0020383B" w:rsidRPr="00A57A42" w:rsidRDefault="00FA5136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 года</w:t>
            </w:r>
          </w:p>
        </w:tc>
      </w:tr>
      <w:tr w:rsidR="0020383B" w:rsidRPr="00A57A42" w14:paraId="1788D7EA" w14:textId="77777777" w:rsidTr="009C5621">
        <w:tc>
          <w:tcPr>
            <w:tcW w:w="704" w:type="dxa"/>
          </w:tcPr>
          <w:p w14:paraId="4384B5A3" w14:textId="7C5C3426" w:rsidR="0020383B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53903A2" w14:textId="3FEC0ABA" w:rsidR="0020383B" w:rsidRPr="00A57A42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A57A42">
              <w:rPr>
                <w:rFonts w:cs="Times New Roman"/>
                <w:sz w:val="24"/>
                <w:szCs w:val="24"/>
              </w:rPr>
              <w:t>квалификаци</w:t>
            </w:r>
            <w:r w:rsidRPr="00A57A42">
              <w:rPr>
                <w:rFonts w:cs="Times New Roman"/>
                <w:sz w:val="24"/>
                <w:szCs w:val="24"/>
              </w:rPr>
              <w:t>и</w:t>
            </w:r>
            <w:r w:rsidR="00E73ED8" w:rsidRPr="00A57A42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3044" w:type="dxa"/>
          </w:tcPr>
          <w:p w14:paraId="074D3A64" w14:textId="5D31FC37" w:rsidR="0020383B" w:rsidRPr="00A57A42" w:rsidRDefault="001709EA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Врач-гематолог</w:t>
            </w:r>
          </w:p>
        </w:tc>
        <w:tc>
          <w:tcPr>
            <w:tcW w:w="3619" w:type="dxa"/>
          </w:tcPr>
          <w:p w14:paraId="38C5CE51" w14:textId="77777777" w:rsidR="0020383B" w:rsidRPr="00A57A42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57A42" w14:paraId="7572F8EA" w14:textId="77777777" w:rsidTr="009C5621">
        <w:tc>
          <w:tcPr>
            <w:tcW w:w="704" w:type="dxa"/>
          </w:tcPr>
          <w:p w14:paraId="77CFE15B" w14:textId="78497E07" w:rsidR="0020383B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D05467B" w14:textId="43B87A91" w:rsidR="0020383B" w:rsidRPr="00A57A42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3044" w:type="dxa"/>
          </w:tcPr>
          <w:p w14:paraId="4E6DE893" w14:textId="2253C703" w:rsidR="0020383B" w:rsidRPr="00A57A42" w:rsidRDefault="001709EA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Оформлен по образцу</w:t>
            </w:r>
          </w:p>
        </w:tc>
        <w:tc>
          <w:tcPr>
            <w:tcW w:w="3619" w:type="dxa"/>
          </w:tcPr>
          <w:p w14:paraId="73FA886B" w14:textId="6F176B89" w:rsidR="00DD3BEC" w:rsidRPr="00A57A42" w:rsidRDefault="00DD3BEC" w:rsidP="00DD3BEC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1.</w:t>
            </w:r>
            <w:r w:rsidRPr="00A57A42">
              <w:rPr>
                <w:rFonts w:cs="Times New Roman"/>
                <w:sz w:val="24"/>
                <w:szCs w:val="24"/>
              </w:rPr>
              <w:t>Цикл профилирующих дисциплин (ПД)</w:t>
            </w:r>
            <w:r w:rsidRPr="00A57A42">
              <w:rPr>
                <w:rFonts w:cs="Times New Roman"/>
                <w:sz w:val="24"/>
                <w:szCs w:val="24"/>
              </w:rPr>
              <w:tab/>
              <w:t>136</w:t>
            </w:r>
          </w:p>
          <w:p w14:paraId="6D5058A5" w14:textId="40EAB68D" w:rsidR="00DD3BEC" w:rsidRPr="00A57A42" w:rsidRDefault="00DD3BEC" w:rsidP="00DD3BEC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2. </w:t>
            </w:r>
            <w:r w:rsidRPr="00A57A42">
              <w:rPr>
                <w:rFonts w:cs="Times New Roman"/>
                <w:sz w:val="24"/>
                <w:szCs w:val="24"/>
              </w:rPr>
              <w:t>Обязательный компонент (ОК)</w:t>
            </w:r>
            <w:r w:rsidRPr="00A57A42">
              <w:rPr>
                <w:rFonts w:cs="Times New Roman"/>
                <w:sz w:val="24"/>
                <w:szCs w:val="24"/>
              </w:rPr>
              <w:tab/>
              <w:t>132</w:t>
            </w:r>
          </w:p>
          <w:p w14:paraId="3E65A1CF" w14:textId="096390A9" w:rsidR="00DD3BEC" w:rsidRPr="00A57A42" w:rsidRDefault="00DD3BEC" w:rsidP="00DD3BEC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3. </w:t>
            </w:r>
            <w:r w:rsidRPr="00A57A42">
              <w:rPr>
                <w:rFonts w:cs="Times New Roman"/>
                <w:sz w:val="24"/>
                <w:szCs w:val="24"/>
              </w:rPr>
              <w:t>Гематология в стационаре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82</w:t>
            </w:r>
          </w:p>
          <w:p w14:paraId="5BFD6361" w14:textId="2B366AC4" w:rsidR="00DD3BEC" w:rsidRPr="00A57A42" w:rsidRDefault="00DD3BEC" w:rsidP="00DD3BEC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4. </w:t>
            </w:r>
            <w:r w:rsidRPr="00A57A42">
              <w:rPr>
                <w:rFonts w:cs="Times New Roman"/>
                <w:sz w:val="24"/>
                <w:szCs w:val="24"/>
              </w:rPr>
              <w:t>Гематология амбулаторно - поликлиническая</w:t>
            </w:r>
            <w:r w:rsidRPr="00A57A42">
              <w:rPr>
                <w:rFonts w:cs="Times New Roman"/>
                <w:sz w:val="24"/>
                <w:szCs w:val="24"/>
              </w:rPr>
              <w:tab/>
              <w:t>52</w:t>
            </w:r>
          </w:p>
          <w:p w14:paraId="22DA70A2" w14:textId="690DBCEA" w:rsidR="00DD3BEC" w:rsidRPr="00A57A42" w:rsidRDefault="00DD3BEC" w:rsidP="00DD3BEC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5. </w:t>
            </w:r>
            <w:r w:rsidRPr="00A57A42">
              <w:rPr>
                <w:rFonts w:cs="Times New Roman"/>
                <w:sz w:val="24"/>
                <w:szCs w:val="24"/>
              </w:rPr>
              <w:t>Компонент по выбору (КВ</w:t>
            </w:r>
            <w:r w:rsidR="00A57A42">
              <w:rPr>
                <w:rFonts w:cs="Times New Roman"/>
                <w:sz w:val="24"/>
                <w:szCs w:val="24"/>
              </w:rPr>
              <w:t xml:space="preserve">) </w:t>
            </w:r>
            <w:r w:rsidRPr="00A57A42">
              <w:rPr>
                <w:rFonts w:cs="Times New Roman"/>
                <w:sz w:val="24"/>
                <w:szCs w:val="24"/>
              </w:rPr>
              <w:t>4</w:t>
            </w:r>
          </w:p>
          <w:p w14:paraId="311FBC03" w14:textId="7F21CF41" w:rsidR="00DD3BEC" w:rsidRPr="00A57A42" w:rsidRDefault="00DD3BEC" w:rsidP="00DD3BEC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6. </w:t>
            </w:r>
            <w:r w:rsidRPr="00A57A42">
              <w:rPr>
                <w:rFonts w:cs="Times New Roman"/>
                <w:sz w:val="24"/>
                <w:szCs w:val="24"/>
              </w:rPr>
              <w:t>Итоговая аттестация (ИА)</w:t>
            </w:r>
            <w:r w:rsid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2</w:t>
            </w:r>
          </w:p>
          <w:p w14:paraId="69802E09" w14:textId="702002B0" w:rsidR="0020383B" w:rsidRPr="00A57A42" w:rsidRDefault="00DD3BEC" w:rsidP="00DD3BEC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Итого:</w:t>
            </w:r>
            <w:r w:rsidRPr="00A57A42">
              <w:rPr>
                <w:rFonts w:cs="Times New Roman"/>
                <w:sz w:val="24"/>
                <w:szCs w:val="24"/>
              </w:rPr>
              <w:tab/>
              <w:t>140</w:t>
            </w:r>
          </w:p>
        </w:tc>
      </w:tr>
      <w:tr w:rsidR="0020383B" w:rsidRPr="00A57A42" w14:paraId="388BC964" w14:textId="77777777" w:rsidTr="009C5621">
        <w:tc>
          <w:tcPr>
            <w:tcW w:w="704" w:type="dxa"/>
          </w:tcPr>
          <w:p w14:paraId="56C42D8E" w14:textId="3674C5DC" w:rsidR="0020383B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F1486DD" w14:textId="0F4F6F7F" w:rsidR="0020383B" w:rsidRPr="00A57A42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A57A42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3044" w:type="dxa"/>
          </w:tcPr>
          <w:p w14:paraId="3414F923" w14:textId="01D8DF3D" w:rsidR="001709EA" w:rsidRPr="00A57A42" w:rsidRDefault="001709EA" w:rsidP="00B3273B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Приведены в таблице</w:t>
            </w:r>
            <w:r w:rsidR="00E32929"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="00B3273B" w:rsidRPr="00A57A42">
              <w:rPr>
                <w:rFonts w:cs="Times New Roman"/>
                <w:sz w:val="24"/>
                <w:szCs w:val="24"/>
              </w:rPr>
              <w:t>«</w:t>
            </w:r>
            <w:r w:rsidR="00E32929" w:rsidRPr="00A57A42">
              <w:rPr>
                <w:rFonts w:cs="Times New Roman"/>
                <w:sz w:val="24"/>
                <w:szCs w:val="24"/>
              </w:rPr>
              <w:t>Перечень наиболее распространенных заболеваний и состояний, подлежащих диагностике и лечению</w:t>
            </w:r>
            <w:r w:rsidR="00B3273B" w:rsidRPr="00A57A42">
              <w:rPr>
                <w:rFonts w:cs="Times New Roman"/>
                <w:sz w:val="24"/>
                <w:szCs w:val="24"/>
              </w:rPr>
              <w:t>»</w:t>
            </w:r>
          </w:p>
          <w:p w14:paraId="1186A3CE" w14:textId="5BF3AD34" w:rsidR="0020383B" w:rsidRPr="00A57A42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79324A27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Острые лейкозы</w:t>
            </w:r>
          </w:p>
          <w:p w14:paraId="1953C47D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Хронический миелолейкоз</w:t>
            </w:r>
          </w:p>
          <w:p w14:paraId="3DA5AEE0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Хронический лимфолейкоз</w:t>
            </w:r>
          </w:p>
          <w:p w14:paraId="18329B73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Множественная миелома</w:t>
            </w:r>
          </w:p>
          <w:p w14:paraId="6882369C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Неходжкинские лимфомы</w:t>
            </w:r>
          </w:p>
          <w:p w14:paraId="6675E279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Болезнь Вальденстрема</w:t>
            </w:r>
          </w:p>
          <w:p w14:paraId="537E3A0F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Лимфома Ходжкина</w:t>
            </w:r>
          </w:p>
          <w:p w14:paraId="2C864630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Истинная полицитемия</w:t>
            </w:r>
          </w:p>
          <w:p w14:paraId="363F7921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Первичный миелофиброз</w:t>
            </w:r>
          </w:p>
          <w:p w14:paraId="3C16AAB9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Эсенциальная тромбоцитемия</w:t>
            </w:r>
          </w:p>
          <w:p w14:paraId="4CA05CD7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Миелодиспластический синдром</w:t>
            </w:r>
          </w:p>
          <w:p w14:paraId="3F167195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МДС/ХМПЗ</w:t>
            </w:r>
          </w:p>
          <w:p w14:paraId="5B1033EC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Идиопатическая тромбоцитопеническая пурпура</w:t>
            </w:r>
          </w:p>
          <w:p w14:paraId="17A4D9ED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Аутоимунная гемолитическая анемия</w:t>
            </w:r>
          </w:p>
          <w:p w14:paraId="2A490FDF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Апластическая анемия</w:t>
            </w:r>
          </w:p>
          <w:p w14:paraId="4FF2AF62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Железодефицитная анемия</w:t>
            </w:r>
          </w:p>
          <w:p w14:paraId="2C3F267C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В12 дефицитная анемия</w:t>
            </w:r>
          </w:p>
          <w:p w14:paraId="0DB41B65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Фолиеводефицитная анемия</w:t>
            </w:r>
          </w:p>
          <w:p w14:paraId="518BBBF2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lastRenderedPageBreak/>
              <w:t>Анемия хронического заболевания</w:t>
            </w:r>
          </w:p>
          <w:p w14:paraId="78B60CFA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Пароксизмальная ночная гемоглобинурия</w:t>
            </w:r>
          </w:p>
          <w:p w14:paraId="7B1CB965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Наследственные гемолитические анемии</w:t>
            </w:r>
          </w:p>
          <w:p w14:paraId="18014B29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Гемофилия</w:t>
            </w:r>
          </w:p>
          <w:p w14:paraId="04AD13ED" w14:textId="77777777" w:rsidR="00DD3BEC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Болезнь Виллебранда</w:t>
            </w:r>
          </w:p>
          <w:p w14:paraId="7546CF4E" w14:textId="7EE22F21" w:rsidR="0020383B" w:rsidRPr="00A57A42" w:rsidRDefault="00DD3BEC" w:rsidP="00DD3BEC">
            <w:pPr>
              <w:pStyle w:val="a5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Тромбофилии</w:t>
            </w:r>
          </w:p>
        </w:tc>
      </w:tr>
      <w:tr w:rsidR="00660C5F" w:rsidRPr="00A57A42" w14:paraId="429168EF" w14:textId="77777777" w:rsidTr="009C5621">
        <w:tc>
          <w:tcPr>
            <w:tcW w:w="704" w:type="dxa"/>
          </w:tcPr>
          <w:p w14:paraId="58621BBB" w14:textId="38D75161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14:paraId="46CEB5F7" w14:textId="4D819935" w:rsidR="00660C5F" w:rsidRPr="00A57A42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3044" w:type="dxa"/>
          </w:tcPr>
          <w:p w14:paraId="0327A731" w14:textId="673EB513" w:rsidR="00660C5F" w:rsidRPr="00A57A42" w:rsidRDefault="00241E92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2345A9D7" w14:textId="77777777" w:rsidR="00660C5F" w:rsidRPr="00A57A42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A57A42" w14:paraId="7D9B6C26" w14:textId="77777777" w:rsidTr="009C5621">
        <w:tc>
          <w:tcPr>
            <w:tcW w:w="704" w:type="dxa"/>
          </w:tcPr>
          <w:p w14:paraId="65B9C416" w14:textId="3759C284" w:rsidR="0020383B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2A47A21" w14:textId="7F928BDB" w:rsidR="0020383B" w:rsidRPr="00A57A42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A57A42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3044" w:type="dxa"/>
          </w:tcPr>
          <w:p w14:paraId="1AEDFA50" w14:textId="025BA46A" w:rsidR="0020383B" w:rsidRPr="00A57A42" w:rsidRDefault="001709EA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Приведены в таблице </w:t>
            </w:r>
            <w:r w:rsidR="00B3273B" w:rsidRPr="00A57A42">
              <w:rPr>
                <w:rFonts w:cs="Times New Roman"/>
                <w:sz w:val="24"/>
                <w:szCs w:val="24"/>
              </w:rPr>
              <w:t>«Практические навыки, манипуляции, процедуры»</w:t>
            </w:r>
          </w:p>
        </w:tc>
        <w:tc>
          <w:tcPr>
            <w:tcW w:w="3619" w:type="dxa"/>
          </w:tcPr>
          <w:p w14:paraId="67B6A8D9" w14:textId="0B261050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1.</w:t>
            </w:r>
            <w:r w:rsidRPr="00A57A42">
              <w:rPr>
                <w:rFonts w:cs="Times New Roman"/>
                <w:sz w:val="24"/>
                <w:szCs w:val="24"/>
              </w:rPr>
              <w:t>Аспирация костного мозга</w:t>
            </w:r>
            <w:r w:rsid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10</w:t>
            </w:r>
          </w:p>
          <w:p w14:paraId="65786B2A" w14:textId="42451DE9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2.</w:t>
            </w:r>
            <w:r w:rsidRPr="00A57A42">
              <w:rPr>
                <w:rFonts w:cs="Times New Roman"/>
                <w:sz w:val="24"/>
                <w:szCs w:val="24"/>
              </w:rPr>
              <w:t>Трепанобиопсия костного мозга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5</w:t>
            </w:r>
          </w:p>
          <w:p w14:paraId="57B41E65" w14:textId="19DE49F5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3.</w:t>
            </w:r>
            <w:r w:rsidRPr="00A57A42">
              <w:rPr>
                <w:rFonts w:cs="Times New Roman"/>
                <w:sz w:val="24"/>
                <w:szCs w:val="24"/>
              </w:rPr>
              <w:t>Пальпация лимфатических узлов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25</w:t>
            </w:r>
          </w:p>
          <w:p w14:paraId="33FEF75D" w14:textId="37BBEB02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4.</w:t>
            </w:r>
            <w:r w:rsidRPr="00A57A42">
              <w:rPr>
                <w:rFonts w:cs="Times New Roman"/>
                <w:sz w:val="24"/>
                <w:szCs w:val="24"/>
              </w:rPr>
              <w:t>Пальпация печени</w:t>
            </w:r>
            <w:r w:rsidRPr="00A57A42">
              <w:rPr>
                <w:rFonts w:cs="Times New Roman"/>
                <w:sz w:val="24"/>
                <w:szCs w:val="24"/>
              </w:rPr>
              <w:tab/>
              <w:t>25</w:t>
            </w:r>
          </w:p>
          <w:p w14:paraId="57646920" w14:textId="33958002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5.</w:t>
            </w:r>
            <w:r w:rsidRPr="00A57A42">
              <w:rPr>
                <w:rFonts w:cs="Times New Roman"/>
                <w:sz w:val="24"/>
                <w:szCs w:val="24"/>
              </w:rPr>
              <w:t>Пальпация селезенки</w:t>
            </w:r>
            <w:r w:rsidRPr="00A57A42">
              <w:rPr>
                <w:rFonts w:cs="Times New Roman"/>
                <w:sz w:val="24"/>
                <w:szCs w:val="24"/>
              </w:rPr>
              <w:tab/>
              <w:t>25</w:t>
            </w:r>
          </w:p>
          <w:p w14:paraId="4221CF42" w14:textId="41272917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6.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результатов морфологического исследования биопсийного материала</w:t>
            </w:r>
            <w:r w:rsidRPr="00A57A42">
              <w:rPr>
                <w:rFonts w:cs="Times New Roman"/>
                <w:sz w:val="24"/>
                <w:szCs w:val="24"/>
              </w:rPr>
              <w:tab/>
              <w:t>25</w:t>
            </w:r>
          </w:p>
          <w:p w14:paraId="261900A1" w14:textId="04A50D52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7.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результатов иммунофенотипирования крови,  костного мозга</w:t>
            </w:r>
            <w:r w:rsidRPr="00A57A42">
              <w:rPr>
                <w:rFonts w:cs="Times New Roman"/>
                <w:sz w:val="24"/>
                <w:szCs w:val="24"/>
              </w:rPr>
              <w:tab/>
              <w:t>15</w:t>
            </w:r>
          </w:p>
          <w:p w14:paraId="2839D850" w14:textId="5C78D9E8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8.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генетических методов исследования, включая FISH, ПЦР</w:t>
            </w:r>
            <w:r w:rsidRPr="00A57A42">
              <w:rPr>
                <w:rFonts w:cs="Times New Roman"/>
                <w:sz w:val="24"/>
                <w:szCs w:val="24"/>
              </w:rPr>
              <w:tab/>
              <w:t>15</w:t>
            </w:r>
          </w:p>
          <w:p w14:paraId="4E2C34E7" w14:textId="4A759511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9.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иммунохимических методов исследования</w:t>
            </w:r>
            <w:r w:rsidRPr="00A57A42">
              <w:rPr>
                <w:rFonts w:cs="Times New Roman"/>
                <w:sz w:val="24"/>
                <w:szCs w:val="24"/>
              </w:rPr>
              <w:tab/>
              <w:t>15</w:t>
            </w:r>
          </w:p>
          <w:p w14:paraId="10F65278" w14:textId="3DF99C9C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10.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исследований при проведении ТГСК (определение HLA-совместимости реципиентов и потенциальных доноров, исследования на наличие реакции трансплантат против хозяина, определение донорского химеризма)</w:t>
            </w:r>
            <w:r w:rsidRPr="00A57A42">
              <w:rPr>
                <w:rFonts w:cs="Times New Roman"/>
                <w:sz w:val="24"/>
                <w:szCs w:val="24"/>
              </w:rPr>
              <w:tab/>
              <w:t>10</w:t>
            </w:r>
          </w:p>
          <w:p w14:paraId="54C6832F" w14:textId="1B71A70E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11.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рентгенограмм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25</w:t>
            </w:r>
          </w:p>
          <w:p w14:paraId="5EA387C0" w14:textId="085E056F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12.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результатов фиброгастродуоденоскопи</w:t>
            </w:r>
            <w:r w:rsidR="00A57A42">
              <w:rPr>
                <w:rFonts w:cs="Times New Roman"/>
                <w:sz w:val="24"/>
                <w:szCs w:val="24"/>
              </w:rPr>
              <w:t xml:space="preserve">и </w:t>
            </w:r>
            <w:r w:rsidRPr="00A57A42">
              <w:rPr>
                <w:rFonts w:cs="Times New Roman"/>
                <w:sz w:val="24"/>
                <w:szCs w:val="24"/>
              </w:rPr>
              <w:t>15</w:t>
            </w:r>
          </w:p>
          <w:p w14:paraId="429BBD3F" w14:textId="2F828051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13.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результатов компьютерной томографии, магнитнорезонансной томогрфии, позитронно-эмиссионная томографии</w:t>
            </w:r>
            <w:r w:rsidRPr="00A57A42">
              <w:rPr>
                <w:rFonts w:cs="Times New Roman"/>
                <w:sz w:val="24"/>
                <w:szCs w:val="24"/>
              </w:rPr>
              <w:tab/>
              <w:t>15</w:t>
            </w:r>
          </w:p>
          <w:p w14:paraId="6BB7F453" w14:textId="6499A250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14.</w:t>
            </w:r>
            <w:r w:rsidRPr="00A57A42">
              <w:rPr>
                <w:rFonts w:cs="Times New Roman"/>
                <w:sz w:val="24"/>
                <w:szCs w:val="24"/>
              </w:rPr>
              <w:t>Назначение и проведение химиотерапии с подбором препаратов, расчетом доз</w:t>
            </w:r>
            <w:r w:rsidRPr="00A57A42">
              <w:rPr>
                <w:rFonts w:cs="Times New Roman"/>
                <w:sz w:val="24"/>
                <w:szCs w:val="24"/>
              </w:rPr>
              <w:tab/>
              <w:t>25</w:t>
            </w:r>
          </w:p>
          <w:p w14:paraId="0B24F736" w14:textId="1000A39B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15.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результатов электрокардиографии</w:t>
            </w:r>
            <w:r w:rsidRPr="00A57A42">
              <w:rPr>
                <w:rFonts w:cs="Times New Roman"/>
                <w:sz w:val="24"/>
                <w:szCs w:val="24"/>
              </w:rPr>
              <w:tab/>
              <w:t>50</w:t>
            </w:r>
          </w:p>
          <w:p w14:paraId="242C8B31" w14:textId="56BB2F82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lastRenderedPageBreak/>
              <w:t>16.</w:t>
            </w:r>
            <w:r w:rsidRPr="00A57A42">
              <w:rPr>
                <w:rFonts w:cs="Times New Roman"/>
                <w:sz w:val="24"/>
                <w:szCs w:val="24"/>
              </w:rPr>
              <w:t xml:space="preserve">Интерпретация результатов общего анализа крови </w:t>
            </w:r>
            <w:r w:rsidRPr="00A57A42">
              <w:rPr>
                <w:rFonts w:cs="Times New Roman"/>
                <w:sz w:val="24"/>
                <w:szCs w:val="24"/>
              </w:rPr>
              <w:tab/>
              <w:t>50</w:t>
            </w:r>
          </w:p>
          <w:p w14:paraId="5BE48F98" w14:textId="702A655A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17.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результатов биохимических анализов крови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50</w:t>
            </w:r>
          </w:p>
          <w:p w14:paraId="6A65AE48" w14:textId="21A36358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18.</w:t>
            </w:r>
            <w:r w:rsidRPr="00A57A42">
              <w:rPr>
                <w:rFonts w:cs="Times New Roman"/>
                <w:sz w:val="24"/>
                <w:szCs w:val="24"/>
              </w:rPr>
              <w:t>Интерпретация результатов коагулограммы крови</w:t>
            </w:r>
            <w:r w:rsidRPr="00A57A42">
              <w:rPr>
                <w:rFonts w:cs="Times New Roman"/>
                <w:sz w:val="24"/>
                <w:szCs w:val="24"/>
              </w:rPr>
              <w:tab/>
              <w:t>50</w:t>
            </w:r>
          </w:p>
          <w:p w14:paraId="59DBE7DB" w14:textId="74D6E6F5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19.</w:t>
            </w:r>
            <w:r w:rsidRPr="00A57A42">
              <w:rPr>
                <w:rFonts w:cs="Times New Roman"/>
                <w:sz w:val="24"/>
                <w:szCs w:val="24"/>
              </w:rPr>
              <w:t>Постановка диагноза согласно существующих классификаций на основе данных анамнеза, объективного исследования и параклинического обследования пациентов с проведением дифференциальной диагностики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50</w:t>
            </w:r>
          </w:p>
          <w:p w14:paraId="645AA562" w14:textId="1E9855F6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20.</w:t>
            </w:r>
            <w:r w:rsidRPr="00A57A42">
              <w:rPr>
                <w:rFonts w:cs="Times New Roman"/>
                <w:sz w:val="24"/>
                <w:szCs w:val="24"/>
              </w:rPr>
              <w:t>Диагностика и неотложная помощь при угрожающих жизни состояниях</w:t>
            </w:r>
            <w:r w:rsidRPr="00A57A42">
              <w:rPr>
                <w:rFonts w:cs="Times New Roman"/>
                <w:sz w:val="24"/>
                <w:szCs w:val="24"/>
              </w:rPr>
              <w:tab/>
              <w:t>5</w:t>
            </w:r>
          </w:p>
          <w:p w14:paraId="04877EDE" w14:textId="7FBB6769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21.</w:t>
            </w:r>
            <w:r w:rsidRPr="00A57A42">
              <w:rPr>
                <w:rFonts w:cs="Times New Roman"/>
                <w:sz w:val="24"/>
                <w:szCs w:val="24"/>
              </w:rPr>
              <w:t>Анафилактический шок</w:t>
            </w:r>
            <w:r w:rsidRPr="00A57A42">
              <w:rPr>
                <w:rFonts w:cs="Times New Roman"/>
                <w:sz w:val="24"/>
                <w:szCs w:val="24"/>
              </w:rPr>
              <w:tab/>
              <w:t>5</w:t>
            </w:r>
          </w:p>
          <w:p w14:paraId="5D1AAB17" w14:textId="38B1C735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22.</w:t>
            </w:r>
            <w:r w:rsidRPr="00A57A42">
              <w:rPr>
                <w:rFonts w:cs="Times New Roman"/>
                <w:sz w:val="24"/>
                <w:szCs w:val="24"/>
              </w:rPr>
              <w:t>Внезапная сердечная смерть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5</w:t>
            </w:r>
          </w:p>
          <w:p w14:paraId="63228425" w14:textId="77D881C7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23.</w:t>
            </w:r>
            <w:r w:rsidRPr="00A57A42">
              <w:rPr>
                <w:rFonts w:cs="Times New Roman"/>
                <w:sz w:val="24"/>
                <w:szCs w:val="24"/>
              </w:rPr>
              <w:t>Острая дыхательная недостаточность</w:t>
            </w:r>
            <w:r w:rsidRPr="00A57A42">
              <w:rPr>
                <w:rFonts w:cs="Times New Roman"/>
                <w:sz w:val="24"/>
                <w:szCs w:val="24"/>
              </w:rPr>
              <w:tab/>
              <w:t>5</w:t>
            </w:r>
          </w:p>
          <w:p w14:paraId="3E3463C5" w14:textId="637F71DA" w:rsidR="009C5621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24.</w:t>
            </w:r>
            <w:r w:rsidRPr="00A57A42">
              <w:rPr>
                <w:rFonts w:cs="Times New Roman"/>
                <w:sz w:val="24"/>
                <w:szCs w:val="24"/>
              </w:rPr>
              <w:t>Кровотечение</w:t>
            </w:r>
            <w:r w:rsidRPr="00A57A42">
              <w:rPr>
                <w:rFonts w:cs="Times New Roman"/>
                <w:sz w:val="24"/>
                <w:szCs w:val="24"/>
              </w:rPr>
              <w:tab/>
              <w:t>5</w:t>
            </w:r>
          </w:p>
          <w:p w14:paraId="36A89CFD" w14:textId="7BD93A3D" w:rsidR="0020383B" w:rsidRPr="00A57A42" w:rsidRDefault="009C5621" w:rsidP="009C5621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25.</w:t>
            </w:r>
            <w:r w:rsidRPr="00A57A42">
              <w:rPr>
                <w:rFonts w:cs="Times New Roman"/>
                <w:sz w:val="24"/>
                <w:szCs w:val="24"/>
              </w:rPr>
              <w:t>Определение показаний и проведение трансфузии компонентов и препаратов крови в соответствии с требованиями действующих нормативно-правовых документов</w:t>
            </w:r>
            <w:r w:rsidRPr="00A57A42">
              <w:rPr>
                <w:rFonts w:cs="Times New Roman"/>
                <w:sz w:val="24"/>
                <w:szCs w:val="24"/>
              </w:rPr>
              <w:tab/>
              <w:t>20</w:t>
            </w:r>
          </w:p>
        </w:tc>
      </w:tr>
      <w:tr w:rsidR="00660C5F" w:rsidRPr="00A57A42" w14:paraId="26AF7FC0" w14:textId="77777777" w:rsidTr="009C5621">
        <w:tc>
          <w:tcPr>
            <w:tcW w:w="704" w:type="dxa"/>
          </w:tcPr>
          <w:p w14:paraId="78BE3EB8" w14:textId="09881859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14:paraId="35792184" w14:textId="20D96DC4" w:rsidR="00660C5F" w:rsidRPr="00A57A42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A57A42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3044" w:type="dxa"/>
          </w:tcPr>
          <w:p w14:paraId="0307846C" w14:textId="2E2B4EE8" w:rsidR="00660C5F" w:rsidRPr="00A57A42" w:rsidRDefault="00241E92" w:rsidP="00E73ED8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619" w:type="dxa"/>
          </w:tcPr>
          <w:p w14:paraId="526FD0F1" w14:textId="77777777" w:rsidR="00660C5F" w:rsidRPr="00A57A42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57A42" w14:paraId="63B98F3F" w14:textId="77777777" w:rsidTr="009C5621">
        <w:tc>
          <w:tcPr>
            <w:tcW w:w="704" w:type="dxa"/>
          </w:tcPr>
          <w:p w14:paraId="48F65958" w14:textId="3A913180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2DCE597D" w14:textId="4C6F4E04" w:rsidR="00660C5F" w:rsidRPr="00A57A42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A57A42">
              <w:rPr>
                <w:color w:val="000000"/>
                <w:spacing w:val="2"/>
              </w:rPr>
              <w:t xml:space="preserve">Соответствие проекта ТУПл международным </w:t>
            </w:r>
            <w:r w:rsidR="0058003E" w:rsidRPr="00A57A42">
              <w:rPr>
                <w:color w:val="000000"/>
                <w:spacing w:val="2"/>
              </w:rPr>
              <w:t>рекомендациям/</w:t>
            </w:r>
            <w:r w:rsidRPr="00A57A42">
              <w:rPr>
                <w:color w:val="000000"/>
                <w:spacing w:val="2"/>
              </w:rPr>
              <w:t>трендам</w:t>
            </w:r>
          </w:p>
        </w:tc>
        <w:tc>
          <w:tcPr>
            <w:tcW w:w="3044" w:type="dxa"/>
          </w:tcPr>
          <w:p w14:paraId="604BE60D" w14:textId="5245BB9E" w:rsidR="00660C5F" w:rsidRPr="00A57A42" w:rsidRDefault="00FA5136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С</w:t>
            </w:r>
            <w:r w:rsidR="00241E92" w:rsidRPr="00A57A42">
              <w:rPr>
                <w:rFonts w:cs="Times New Roman"/>
                <w:sz w:val="24"/>
                <w:szCs w:val="24"/>
              </w:rPr>
              <w:t>оответствует</w:t>
            </w:r>
          </w:p>
        </w:tc>
        <w:tc>
          <w:tcPr>
            <w:tcW w:w="3619" w:type="dxa"/>
          </w:tcPr>
          <w:p w14:paraId="5AC5722A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57A42" w14:paraId="743F7EA6" w14:textId="77777777" w:rsidTr="009C5621">
        <w:tc>
          <w:tcPr>
            <w:tcW w:w="704" w:type="dxa"/>
          </w:tcPr>
          <w:p w14:paraId="4E90F0A1" w14:textId="6F24C59A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96C3006" w14:textId="2BDAFCF3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3044" w:type="dxa"/>
          </w:tcPr>
          <w:p w14:paraId="3C170AB8" w14:textId="4295DF2C" w:rsidR="00E32929" w:rsidRPr="00A57A42" w:rsidRDefault="00E32929" w:rsidP="00E32929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Д.м.н., проф. Тургунова Л.Г., НАО «Медицинский университет Караганды» 87012273536</w:t>
            </w:r>
          </w:p>
          <w:p w14:paraId="1F71B56F" w14:textId="77777777" w:rsidR="00660C5F" w:rsidRPr="00A57A42" w:rsidRDefault="00E32929" w:rsidP="00E32929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Д.м.н., проф. Рамазанова Р. М., КАЗНМУ им. Асфендиярова</w:t>
            </w:r>
          </w:p>
          <w:p w14:paraId="367B205C" w14:textId="2318451D" w:rsidR="00E32929" w:rsidRPr="00A57A42" w:rsidRDefault="00E32929" w:rsidP="00E32929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87017135332</w:t>
            </w:r>
          </w:p>
        </w:tc>
        <w:tc>
          <w:tcPr>
            <w:tcW w:w="3619" w:type="dxa"/>
          </w:tcPr>
          <w:p w14:paraId="2C953C85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57A42" w14:paraId="190BA68F" w14:textId="77777777" w:rsidTr="009C5621">
        <w:tc>
          <w:tcPr>
            <w:tcW w:w="704" w:type="dxa"/>
          </w:tcPr>
          <w:p w14:paraId="2DEBA007" w14:textId="70BD976F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4366E6FD" w14:textId="2156F963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3044" w:type="dxa"/>
          </w:tcPr>
          <w:p w14:paraId="5DB84576" w14:textId="7F97E952" w:rsidR="00660C5F" w:rsidRPr="00A57A42" w:rsidRDefault="001709EA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Протокол №1 </w:t>
            </w:r>
            <w:r w:rsidR="009C5621" w:rsidRPr="00A57A42">
              <w:rPr>
                <w:rFonts w:cs="Times New Roman"/>
                <w:sz w:val="24"/>
                <w:szCs w:val="24"/>
              </w:rPr>
              <w:t xml:space="preserve">расширенного заседания комитета УМО по направлению подготовки «Гематология взрослая» </w:t>
            </w:r>
            <w:r w:rsidRPr="00A57A42">
              <w:rPr>
                <w:rFonts w:cs="Times New Roman"/>
                <w:sz w:val="24"/>
                <w:szCs w:val="24"/>
              </w:rPr>
              <w:t xml:space="preserve">от 29.01.2022, проведен онлайн на платформе </w:t>
            </w:r>
            <w:r w:rsidR="00E32929" w:rsidRPr="00A57A42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="00E32929" w:rsidRPr="00A57A42">
              <w:rPr>
                <w:rFonts w:cs="Times New Roman"/>
                <w:sz w:val="24"/>
                <w:szCs w:val="24"/>
              </w:rPr>
              <w:t>, явка всех членов комитета</w:t>
            </w:r>
          </w:p>
        </w:tc>
        <w:tc>
          <w:tcPr>
            <w:tcW w:w="3619" w:type="dxa"/>
          </w:tcPr>
          <w:p w14:paraId="014D99A3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57A42" w14:paraId="08B16081" w14:textId="77777777" w:rsidTr="009C5621">
        <w:tc>
          <w:tcPr>
            <w:tcW w:w="704" w:type="dxa"/>
          </w:tcPr>
          <w:p w14:paraId="266A1F98" w14:textId="34676C25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14:paraId="504AC3C3" w14:textId="02677AD3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A57A42">
              <w:rPr>
                <w:rFonts w:cs="Times New Roman"/>
                <w:sz w:val="24"/>
                <w:szCs w:val="24"/>
              </w:rPr>
              <w:t>, особо выделить гл.внештатных специалистов</w:t>
            </w:r>
          </w:p>
        </w:tc>
        <w:tc>
          <w:tcPr>
            <w:tcW w:w="3044" w:type="dxa"/>
          </w:tcPr>
          <w:p w14:paraId="535CA7C7" w14:textId="327506D9" w:rsidR="00660C5F" w:rsidRPr="00A57A42" w:rsidRDefault="00E32929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Главный внештатный гематолог МЗ РК Кемайкин В.М.</w:t>
            </w:r>
          </w:p>
          <w:p w14:paraId="4E948A0C" w14:textId="6A761A6D" w:rsidR="00A57A42" w:rsidRPr="00A57A42" w:rsidRDefault="00A57A42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Председатель комитета: </w:t>
            </w:r>
            <w:r w:rsidRPr="00A57A42">
              <w:rPr>
                <w:rFonts w:cs="Times New Roman"/>
                <w:sz w:val="24"/>
                <w:szCs w:val="24"/>
              </w:rPr>
              <w:t>Тургунова Людмила Геннадьевна, профессор кафедры внутренних бо-лезней НАО «МУК»</w:t>
            </w:r>
          </w:p>
          <w:p w14:paraId="4FE0B24B" w14:textId="0715C7A7" w:rsidR="00A57A42" w:rsidRPr="00A57A42" w:rsidRDefault="00A57A42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Зам.председателя: </w:t>
            </w:r>
            <w:r w:rsidRPr="00A57A42">
              <w:rPr>
                <w:rFonts w:cs="Times New Roman"/>
                <w:sz w:val="24"/>
                <w:szCs w:val="24"/>
              </w:rPr>
              <w:t>Рамазанова Райгуль Муханбетовна, д.м.н</w:t>
            </w:r>
          </w:p>
          <w:p w14:paraId="6998FDE0" w14:textId="64542405" w:rsidR="00A57A42" w:rsidRPr="00A57A42" w:rsidRDefault="00A57A42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 xml:space="preserve">Секретарь: </w:t>
            </w:r>
            <w:r w:rsidRPr="00A57A42">
              <w:rPr>
                <w:rFonts w:cs="Times New Roman"/>
                <w:sz w:val="24"/>
                <w:szCs w:val="24"/>
              </w:rPr>
              <w:t>Механцева Ирина Викторовна, асси-стент кафедры внут-ренних болезней НАО «МУК»</w:t>
            </w:r>
          </w:p>
          <w:p w14:paraId="5F0B26A6" w14:textId="77777777" w:rsidR="009C5621" w:rsidRPr="00A57A42" w:rsidRDefault="009C5621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Члены комитета:</w:t>
            </w:r>
          </w:p>
          <w:p w14:paraId="5F44FCDC" w14:textId="47C981DF" w:rsidR="009C5621" w:rsidRPr="00A57A42" w:rsidRDefault="00A57A42" w:rsidP="00660C5F">
            <w:pPr>
              <w:rPr>
                <w:rFonts w:eastAsia="Times New Roman"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Айнабай А.М.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 xml:space="preserve">Доцент </w:t>
            </w:r>
            <w:r w:rsidRPr="00A57A42">
              <w:rPr>
                <w:rFonts w:eastAsia="Times New Roman" w:cs="Times New Roman"/>
                <w:sz w:val="24"/>
                <w:szCs w:val="24"/>
              </w:rPr>
              <w:t>кафедры внутренних болезней с курсами гастроэнтерологии, эндокринологии и гастроэнтерологии</w:t>
            </w:r>
            <w:r w:rsidRPr="00A57A42">
              <w:rPr>
                <w:rFonts w:cs="Times New Roman"/>
                <w:sz w:val="24"/>
                <w:szCs w:val="24"/>
              </w:rPr>
              <w:t>, Байдурин С.А.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Профессор кафедры внутренних болезней   курсом нефрологии, гематологии, аллергологии и иммунологии НАО «МУА», Пивоварова И.А.</w:t>
            </w:r>
            <w:r w:rsidRPr="00A57A42">
              <w:rPr>
                <w:rFonts w:cs="Times New Roman"/>
                <w:sz w:val="24"/>
                <w:szCs w:val="24"/>
              </w:rPr>
              <w:t xml:space="preserve"> Генеральный директор </w:t>
            </w:r>
            <w:r w:rsidRPr="00A57A42">
              <w:rPr>
                <w:rFonts w:cs="Times New Roman"/>
                <w:sz w:val="24"/>
                <w:szCs w:val="24"/>
              </w:rPr>
              <w:t xml:space="preserve">ТОО «Центр гематологии»                                                                                                       </w:t>
            </w:r>
            <w:r w:rsidRPr="00A57A42">
              <w:rPr>
                <w:rFonts w:cs="Times New Roman"/>
                <w:sz w:val="24"/>
                <w:szCs w:val="24"/>
              </w:rPr>
              <w:t>П</w:t>
            </w:r>
            <w:r w:rsidRPr="00A57A42">
              <w:rPr>
                <w:rFonts w:cs="Times New Roman"/>
                <w:sz w:val="24"/>
                <w:szCs w:val="24"/>
              </w:rPr>
              <w:t>редседател</w:t>
            </w:r>
            <w:r w:rsidRPr="00A57A42">
              <w:rPr>
                <w:rFonts w:cs="Times New Roman"/>
                <w:sz w:val="24"/>
                <w:szCs w:val="24"/>
              </w:rPr>
              <w:t>ь</w:t>
            </w:r>
            <w:r w:rsidRPr="00A57A42">
              <w:rPr>
                <w:rFonts w:cs="Times New Roman"/>
                <w:sz w:val="24"/>
                <w:szCs w:val="24"/>
              </w:rPr>
              <w:t xml:space="preserve"> РОО «Казахстанское общество гематологов», Хан О.Р.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Гематолог высшей квалификационной категории, Клодзинский А.А.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Медицинский директор ТОО «Центр гематологии»                                                                                                          Заместитель председателя РОО «Казахстанское общество гематологов», к.м.н., Нургалиева Д.Т.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К.м.н. ассистент кафедры госпитальной терапии, Косанова А.К.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>Профессор кафедры, Габбасова С.Т.</w:t>
            </w:r>
            <w:r w:rsidRPr="00A57A42">
              <w:rPr>
                <w:rFonts w:cs="Times New Roman"/>
                <w:sz w:val="24"/>
                <w:szCs w:val="24"/>
              </w:rPr>
              <w:t xml:space="preserve"> </w:t>
            </w:r>
            <w:r w:rsidRPr="00A57A42">
              <w:rPr>
                <w:rFonts w:cs="Times New Roman"/>
                <w:sz w:val="24"/>
                <w:szCs w:val="24"/>
              </w:rPr>
              <w:t xml:space="preserve">К.м.н., гематолог высшей категории. </w:t>
            </w:r>
          </w:p>
        </w:tc>
        <w:tc>
          <w:tcPr>
            <w:tcW w:w="3619" w:type="dxa"/>
          </w:tcPr>
          <w:p w14:paraId="74A568C6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57A42" w14:paraId="054E83E7" w14:textId="77777777" w:rsidTr="009C5621">
        <w:tc>
          <w:tcPr>
            <w:tcW w:w="704" w:type="dxa"/>
          </w:tcPr>
          <w:p w14:paraId="47B9A41C" w14:textId="7EAC93CA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37D9ABED" w14:textId="55193C63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044" w:type="dxa"/>
          </w:tcPr>
          <w:p w14:paraId="34A57033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49CE2AD8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57A42" w14:paraId="59E88223" w14:textId="77777777" w:rsidTr="009C5621">
        <w:tc>
          <w:tcPr>
            <w:tcW w:w="704" w:type="dxa"/>
          </w:tcPr>
          <w:p w14:paraId="07C1E9D3" w14:textId="3DAEB01B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3533E96B" w14:textId="09B43F4C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044" w:type="dxa"/>
          </w:tcPr>
          <w:p w14:paraId="238E7654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2B5E40CB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A57A42" w14:paraId="203ECE12" w14:textId="77777777" w:rsidTr="009C5621">
        <w:tc>
          <w:tcPr>
            <w:tcW w:w="704" w:type="dxa"/>
          </w:tcPr>
          <w:p w14:paraId="62AF91A4" w14:textId="2A41FD40" w:rsidR="00660C5F" w:rsidRPr="00A57A42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</w:tcPr>
          <w:p w14:paraId="04733A57" w14:textId="62ED082B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A57A42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3044" w:type="dxa"/>
          </w:tcPr>
          <w:p w14:paraId="5391D573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14:paraId="1CB67F4F" w14:textId="77777777" w:rsidR="00660C5F" w:rsidRPr="00A57A42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A57A42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72E7D351" w14:textId="77777777" w:rsidR="00E51E46" w:rsidRPr="00A57A42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A57A42">
        <w:rPr>
          <w:rFonts w:cs="Times New Roman"/>
          <w:sz w:val="24"/>
          <w:szCs w:val="24"/>
        </w:rPr>
        <w:t>ГУПам принять проекты ТУПлов от Комитетов в соответствии с чек-листом</w:t>
      </w:r>
      <w:r w:rsidR="00E51E46" w:rsidRPr="00A57A42">
        <w:rPr>
          <w:rFonts w:cs="Times New Roman"/>
          <w:sz w:val="24"/>
          <w:szCs w:val="24"/>
        </w:rPr>
        <w:t>;</w:t>
      </w:r>
    </w:p>
    <w:p w14:paraId="0260D40A" w14:textId="77777777" w:rsidR="00E51E46" w:rsidRPr="00A57A42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A57A42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A57A42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A57A42">
        <w:rPr>
          <w:rFonts w:cs="Times New Roman"/>
          <w:sz w:val="24"/>
          <w:szCs w:val="24"/>
        </w:rPr>
        <w:t>ГУПы могут добавить критерии обсуждения в соответствии со спецификой профиля/специальности</w:t>
      </w:r>
    </w:p>
    <w:p w14:paraId="63CE35B7" w14:textId="02904FB5" w:rsidR="0058003E" w:rsidRPr="00A57A42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A57A42">
        <w:rPr>
          <w:rFonts w:cs="Times New Roman"/>
          <w:sz w:val="24"/>
          <w:szCs w:val="24"/>
        </w:rPr>
        <w:t>ГУПам собрать проекты ТУПлов и передать методисту Гульмире Бекжититовне Мукашевой для размещения на сайте</w:t>
      </w:r>
      <w:r w:rsidR="0058003E" w:rsidRPr="00A57A42">
        <w:rPr>
          <w:rFonts w:cs="Times New Roman"/>
          <w:sz w:val="24"/>
          <w:szCs w:val="24"/>
        </w:rPr>
        <w:t xml:space="preserve"> </w:t>
      </w:r>
      <w:r w:rsidRPr="00A57A42">
        <w:rPr>
          <w:rFonts w:cs="Times New Roman"/>
          <w:sz w:val="24"/>
          <w:szCs w:val="24"/>
        </w:rPr>
        <w:t>УМО</w:t>
      </w:r>
    </w:p>
    <w:sectPr w:rsidR="0058003E" w:rsidRPr="00A57A42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4766"/>
    <w:multiLevelType w:val="hybridMultilevel"/>
    <w:tmpl w:val="D10C78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1257B1"/>
    <w:rsid w:val="001709EA"/>
    <w:rsid w:val="0020383B"/>
    <w:rsid w:val="00241E92"/>
    <w:rsid w:val="0058003E"/>
    <w:rsid w:val="00660C5F"/>
    <w:rsid w:val="006C0B77"/>
    <w:rsid w:val="008242FF"/>
    <w:rsid w:val="00870751"/>
    <w:rsid w:val="00922C48"/>
    <w:rsid w:val="009C5621"/>
    <w:rsid w:val="00A57A42"/>
    <w:rsid w:val="00B3273B"/>
    <w:rsid w:val="00B915B7"/>
    <w:rsid w:val="00DD3BEC"/>
    <w:rsid w:val="00E140C6"/>
    <w:rsid w:val="00E32929"/>
    <w:rsid w:val="00E51E46"/>
    <w:rsid w:val="00E73ED8"/>
    <w:rsid w:val="00EA59DF"/>
    <w:rsid w:val="00EE4070"/>
    <w:rsid w:val="00F12C76"/>
    <w:rsid w:val="00F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Механцева Ирина</cp:lastModifiedBy>
  <cp:revision>6</cp:revision>
  <dcterms:created xsi:type="dcterms:W3CDTF">2022-01-29T10:22:00Z</dcterms:created>
  <dcterms:modified xsi:type="dcterms:W3CDTF">2022-01-31T16:35:00Z</dcterms:modified>
</cp:coreProperties>
</file>